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63" w:rsidRPr="00724E63" w:rsidRDefault="00724E63" w:rsidP="00724E6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12" w:lineRule="auto"/>
        <w:jc w:val="center"/>
        <w:rPr>
          <w:rFonts w:cs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pacing w:val="-3"/>
          <w:sz w:val="28"/>
          <w:szCs w:val="28"/>
        </w:rPr>
        <w:t>Социально-экономическая ситуация</w:t>
      </w:r>
    </w:p>
    <w:p w:rsidR="00724E63" w:rsidRPr="00724E63" w:rsidRDefault="00724E63" w:rsidP="00724E6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12" w:lineRule="auto"/>
        <w:jc w:val="center"/>
        <w:rPr>
          <w:rFonts w:cs="Times New Roman"/>
          <w:b/>
          <w:bCs/>
          <w:spacing w:val="-3"/>
          <w:sz w:val="28"/>
          <w:szCs w:val="28"/>
        </w:rPr>
      </w:pPr>
      <w:r>
        <w:rPr>
          <w:rFonts w:cs="Times New Roman"/>
          <w:b/>
          <w:bCs/>
          <w:spacing w:val="-3"/>
          <w:sz w:val="28"/>
          <w:szCs w:val="28"/>
        </w:rPr>
        <w:t xml:space="preserve">в городе </w:t>
      </w:r>
      <w:r w:rsidRPr="00724E63">
        <w:rPr>
          <w:rFonts w:cs="Times New Roman"/>
          <w:b/>
          <w:bCs/>
          <w:spacing w:val="-3"/>
          <w:sz w:val="28"/>
          <w:szCs w:val="28"/>
        </w:rPr>
        <w:t xml:space="preserve"> Батайске</w:t>
      </w:r>
    </w:p>
    <w:p w:rsidR="00052F4E" w:rsidRPr="00724E63" w:rsidRDefault="00724E63" w:rsidP="00052F4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12" w:lineRule="auto"/>
        <w:jc w:val="center"/>
        <w:rPr>
          <w:rFonts w:cs="Times New Roman"/>
          <w:b/>
          <w:bCs/>
          <w:i/>
          <w:spacing w:val="-3"/>
          <w:sz w:val="28"/>
          <w:szCs w:val="28"/>
        </w:rPr>
      </w:pPr>
      <w:r w:rsidRPr="00724E63">
        <w:rPr>
          <w:rFonts w:cs="Times New Roman"/>
          <w:b/>
          <w:bCs/>
          <w:i/>
          <w:spacing w:val="-3"/>
          <w:sz w:val="28"/>
          <w:szCs w:val="28"/>
        </w:rPr>
        <w:t xml:space="preserve">  в </w:t>
      </w:r>
      <w:r>
        <w:rPr>
          <w:rFonts w:cs="Times New Roman"/>
          <w:b/>
          <w:bCs/>
          <w:i/>
          <w:spacing w:val="-3"/>
          <w:sz w:val="28"/>
          <w:szCs w:val="28"/>
        </w:rPr>
        <w:t>1 квартале 2020 года</w:t>
      </w:r>
    </w:p>
    <w:p w:rsid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 xml:space="preserve">В целом по городу Батайску наблюдается рост темпа развития экономики. Индекс промышленного производства в январе – марте 2020 </w:t>
      </w:r>
      <w:proofErr w:type="gramStart"/>
      <w:r w:rsidRPr="00052F4E">
        <w:rPr>
          <w:rFonts w:ascii="Times New Roman" w:hAnsi="Times New Roman" w:cs="Times New Roman"/>
          <w:sz w:val="24"/>
          <w:szCs w:val="24"/>
        </w:rPr>
        <w:t>года( по</w:t>
      </w:r>
      <w:proofErr w:type="gramEnd"/>
      <w:r w:rsidRPr="00052F4E">
        <w:rPr>
          <w:rFonts w:ascii="Times New Roman" w:hAnsi="Times New Roman" w:cs="Times New Roman"/>
          <w:sz w:val="24"/>
          <w:szCs w:val="24"/>
        </w:rPr>
        <w:t xml:space="preserve">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загрязнений»,вырос на 15,5 процента.</w:t>
      </w:r>
      <w:r w:rsidR="00724E63" w:rsidRPr="00724E63">
        <w:rPr>
          <w:rFonts w:ascii="Times New Roman" w:hAnsi="Times New Roman" w:cs="Times New Roman"/>
          <w:sz w:val="24"/>
          <w:szCs w:val="24"/>
        </w:rPr>
        <w:t xml:space="preserve"> </w:t>
      </w:r>
      <w:r w:rsidR="00724E63" w:rsidRPr="00052F4E">
        <w:rPr>
          <w:rFonts w:ascii="Times New Roman" w:hAnsi="Times New Roman" w:cs="Times New Roman"/>
          <w:sz w:val="24"/>
          <w:szCs w:val="24"/>
        </w:rPr>
        <w:t>По сравнению с соответствующим периодом прошлого года на 4,1 процента уменьшение оборота организаций (по крупным и средним организациям) всех видов экономической деятельности.</w:t>
      </w:r>
    </w:p>
    <w:p w:rsid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2F4E">
        <w:rPr>
          <w:rFonts w:ascii="Times New Roman" w:hAnsi="Times New Roman" w:cs="Times New Roman"/>
          <w:sz w:val="24"/>
          <w:szCs w:val="24"/>
        </w:rPr>
        <w:t xml:space="preserve">Объем реализации в обрабатывающих производствах города вырос по сравнению с прошлогодним уровнем на 24,2 процента, и составил 956,8 млн. рублей. Обеспечение электрической энергией, газом и паром, кондиционирование воздуха возросло  на 3,0 процента  и составило 356,7 млн. рублей, а водоснабжение, водоотведение, организация сбора и утилизация отходов, деятельность по ликвидации загрязнений снизилось  на 36,6 процента. </w:t>
      </w:r>
    </w:p>
    <w:p w:rsidR="00052F4E" w:rsidRP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Потребительский рынок остается стабильным и насыщенным товарами. Индекс физического объема оборота розничной торговли за январь – март 2020 года по отношению к январю – марту 2019 года, вырос на 5,6 процента, по торгующим организациям, включая индивидуальных предпринимателей (вне рынка) на 6,1 процента. 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В общем объеме оборота розничной торговли города на долю рынков приходится около 10,2 процентов. В то же время, индекс физического объема оборота общественного питания составил 102,2 процента по отношению к аналогичному периоду прошлого года.</w:t>
      </w:r>
    </w:p>
    <w:p w:rsidR="00052F4E" w:rsidRPr="00052F4E" w:rsidRDefault="00052F4E" w:rsidP="00052F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>Индекс потребительских цен по Ростовской области в марте 2020 года по отношению к предыдущему месяцу составил 100,6 процента, в том числе на продовольственные товары – 101,1 процента, непродовольственные товары – 100,3 процента и услуги – 100,3 процента.</w:t>
      </w:r>
    </w:p>
    <w:p w:rsidR="00052F4E" w:rsidRPr="00052F4E" w:rsidRDefault="00052F4E" w:rsidP="00052F4E">
      <w:pPr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          По Ростовской области стоимость условного (минимального) набора продуктов питания в марте 2020 года составила 3855,21 рубля в расчете на 1 человека и по сравнению с предыдущим месяцем увеличилась на 1,4 процента, с начала года – на 2,9 процента (в марте 2019 г. увеличилась на 1,8%, с начала года – на 4%).</w:t>
      </w:r>
    </w:p>
    <w:p w:rsidR="00052F4E" w:rsidRPr="00052F4E" w:rsidRDefault="00052F4E" w:rsidP="00052F4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>Грузооборот транспорта вырос  на 0,7 процента по сравнению с аналогичным периодом прошлого года. Но отмечен и  рост  объема грузовых перевозок автотранспортом крупных и средних предприятий города. Объем перевозки грузов увеличился на 33,9 процента.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Значительная часть объемов подрядных работ приходится на жилищное строительство.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lastRenderedPageBreak/>
        <w:tab/>
        <w:t>Объемы жилищного строительства в городе Батайске за три месяца 2020 года уменьшились, по сравнению с аналогичным периодом прошлого года.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4E">
        <w:rPr>
          <w:rFonts w:ascii="Times New Roman" w:hAnsi="Times New Roman" w:cs="Times New Roman"/>
          <w:sz w:val="24"/>
          <w:szCs w:val="24"/>
        </w:rPr>
        <w:t>Всего за 3 месяца 2020 года было введено жилых домов общей площадью 32764 м</w:t>
      </w:r>
      <w:proofErr w:type="gramStart"/>
      <w:r w:rsidRPr="00052F4E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052F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52F4E">
        <w:rPr>
          <w:rFonts w:ascii="Times New Roman" w:hAnsi="Times New Roman" w:cs="Times New Roman"/>
          <w:sz w:val="24"/>
          <w:szCs w:val="24"/>
        </w:rPr>
        <w:t>71,4%)  по отношению к соответствующему периоду 2019 года.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     Строительная активность индивидуальных застройщиков снизилась  по отношению к соответствующему периоду прошлого года, а от общего объёма вводимого жилья составила 44,5 процента.</w:t>
      </w:r>
    </w:p>
    <w:p w:rsidR="00052F4E" w:rsidRPr="00052F4E" w:rsidRDefault="00052F4E" w:rsidP="00052F4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Инвестиционная деятельность за три месяца 2020 года характеризовалась снижением объема инвестиций, используемых на развитие экономики города. По сравнению с аналогичным периодом 2019 года, объем инвестиций составил 40,7 процента. 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Источниками финансирования инвестиций в основной капитал за отчетный период по крупным и средним организациям стали в основном, собственные средства предприятий на 63,1 процента и привлеченные на 36,9 процента.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 xml:space="preserve">Сальдированный финансовый результат организаций города (кроме субъектов малого предпринимательства) за 2 месяца 2020 года составил 29671 тыс. рублей убытка. 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Количество убыточных предприятий составило 45,8 процента от общего количества всех организаций, сумма убытка – 41046 тыс. рублей.</w:t>
      </w:r>
    </w:p>
    <w:p w:rsid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          Количество прибыльных предприятий составило 54,2 процента от общего количества всех организаций, сумма прибыли – 11375 тыс. рублей.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по кругу крупных и средних организаций по итогам трех месяцев 2020 года ниже прошлогоднего уровня (на 0,7 процента).</w:t>
      </w:r>
    </w:p>
    <w:p w:rsidR="00052F4E" w:rsidRP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На конец отчетного периода состоит на учете 409 человек безработных граждан, 94,0 процента  к 01.04.2019 года. Уровень регистрируемой  безработицы в городе составил 0,8 процента к численности рабочей силы на 01.04.2020.</w:t>
      </w:r>
    </w:p>
    <w:p w:rsidR="00052F4E" w:rsidRP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ab/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</w:p>
    <w:p w:rsidR="00052F4E" w:rsidRPr="00052F4E" w:rsidRDefault="00052F4E" w:rsidP="00052F4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0,3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>Номинальная начисленная заработная плата в январе –  марте  2020 года увеличилась на 5,3 процента по кругу крупных и средних предприятий. По виду экономической деятельности «Обрабатывающие производства» размер среднемесячной начисленной заработной платы снизился на 2,2% по кругу организаций без субъектов малого предпринимательства (январь-март 2020 г. к январю-марту 2019 г.) Минимальный размер заработной платы в размере 19909,0 рублей зафиксирован, у работников занимающихся «</w:t>
      </w:r>
      <w:r w:rsidRPr="00052F4E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 гостиниц и предприятий общественного питания»</w:t>
      </w:r>
      <w:r w:rsidRPr="00052F4E">
        <w:rPr>
          <w:rFonts w:ascii="Times New Roman" w:hAnsi="Times New Roman" w:cs="Times New Roman"/>
          <w:sz w:val="24"/>
          <w:szCs w:val="24"/>
        </w:rPr>
        <w:t>. Максимальный размер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lastRenderedPageBreak/>
        <w:t>заработной платы отмечен у работников, занимающихся профессиональной научной и технической деятельностью 49184,9 рублей.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>На 1 апреля  2020 года сумма просроченной задолженности по заработной плате составила 3478 тыс. рублей (по кругу отчитывающихся организаций).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F4E">
        <w:rPr>
          <w:rFonts w:ascii="Times New Roman" w:hAnsi="Times New Roman" w:cs="Times New Roman"/>
          <w:sz w:val="24"/>
          <w:szCs w:val="24"/>
        </w:rPr>
        <w:t xml:space="preserve">  Миграционная обстановка характеризуется </w:t>
      </w:r>
      <w:proofErr w:type="gramStart"/>
      <w:r w:rsidRPr="00052F4E">
        <w:rPr>
          <w:rFonts w:ascii="Times New Roman" w:hAnsi="Times New Roman" w:cs="Times New Roman"/>
          <w:sz w:val="24"/>
          <w:szCs w:val="24"/>
        </w:rPr>
        <w:t>снижением  числа</w:t>
      </w:r>
      <w:proofErr w:type="gramEnd"/>
      <w:r w:rsidRPr="00052F4E">
        <w:rPr>
          <w:rFonts w:ascii="Times New Roman" w:hAnsi="Times New Roman" w:cs="Times New Roman"/>
          <w:sz w:val="24"/>
          <w:szCs w:val="24"/>
        </w:rPr>
        <w:t xml:space="preserve"> прибывших над числом выбывших. Миграционная убыль составила  175 человек.</w:t>
      </w:r>
    </w:p>
    <w:p w:rsidR="00052F4E" w:rsidRPr="00052F4E" w:rsidRDefault="00052F4E" w:rsidP="00052F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78EF" w:rsidRPr="00052F4E" w:rsidRDefault="00B878EF">
      <w:pPr>
        <w:rPr>
          <w:rFonts w:ascii="Times New Roman" w:hAnsi="Times New Roman" w:cs="Times New Roman"/>
          <w:sz w:val="24"/>
          <w:szCs w:val="24"/>
        </w:rPr>
      </w:pPr>
    </w:p>
    <w:sectPr w:rsidR="00B878EF" w:rsidRPr="00052F4E" w:rsidSect="005A549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4E"/>
    <w:rsid w:val="00052F4E"/>
    <w:rsid w:val="004634E1"/>
    <w:rsid w:val="005A549D"/>
    <w:rsid w:val="00724E63"/>
    <w:rsid w:val="00B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FFF95-2FF0-4FC3-AC5F-3A209BAB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Company>rokgs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2020-07-10T09:39:00Z</dcterms:created>
  <dcterms:modified xsi:type="dcterms:W3CDTF">2020-07-10T09:39:00Z</dcterms:modified>
</cp:coreProperties>
</file>