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Совета по инвестициям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«Город Батайск»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5" w:type="dxa"/>
        <w:jc w:val="center"/>
        <w:tblInd w:w="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2310"/>
        <w:gridCol w:w="280"/>
        <w:gridCol w:w="7265"/>
      </w:tblGrid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80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5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Волошин Р.П.</w:t>
            </w:r>
          </w:p>
        </w:tc>
      </w:tr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80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5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Скорина И.М.</w:t>
            </w:r>
          </w:p>
        </w:tc>
      </w:tr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80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5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Богатищева Н.С., Буцаленко А.Н., Горелкин В.В.,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Крупнов П.В.,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Кузьменко В.Н., О.В., Никитченко О.Н.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Сахратов А.В.,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Свистунов О.В., Скорина И.М., Халилов У.Х., Шевченко А.А.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48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8833"/>
      </w:tblGrid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«О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включении инвестиционного проекта </w:t>
            </w:r>
            <w:bookmarkStart w:id="0" w:name="_Hlk126670220"/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«Современный кластер химических производств» </w:t>
            </w:r>
            <w:bookmarkEnd w:id="0"/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 перечень инвестиционных проектов, находящихся на контроле главы Администрации города Батайска».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Доклад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учредителя ООО «Станко-Групп РУС».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начальника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экономики, инвестиционной политики и стратегического развития Администрации города Батайска.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01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«О ходе реализации инвестиционного проекта по строительству оптово-розничного торгового комплекса «Южный» с многофункциональными общественными пространствами, входящего в перечень инвестиционных проектов, находящихся на контроле главы Администрации города Батайска».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Доклад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/>
              </w:rPr>
              <w:t>заместителя директора АО ОРТК «Южный».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jc w:val="both"/>
              <w:rPr/>
            </w:pPr>
            <w:bookmarkStart w:id="1" w:name="__DdeLink__275_1917749428"/>
            <w:r>
              <w:rPr>
                <w:rStyle w:val="Fontstyle01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«О перечне земельных участков, планируемых для выставления на торги в 2023 году»</w:t>
            </w:r>
            <w:bookmarkEnd w:id="1"/>
            <w:r>
              <w:rPr>
                <w:rStyle w:val="Fontstyle01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Доклад </w:t>
            </w:r>
            <w:r>
              <w:rPr>
                <w:rStyle w:val="115pt"/>
                <w:rFonts w:eastAsia="Calibri" w:ascii="Times New Roman" w:hAnsi="Times New Roman"/>
                <w:b w:val="false"/>
                <w:bCs w:val="false"/>
                <w:iCs/>
                <w:sz w:val="28"/>
                <w:szCs w:val="28"/>
              </w:rPr>
              <w:t>заместителя председателя Комитета по управлению имуществом города Батайска.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Крупнова П.В. - учредителя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ООО «Станко-Групп РУС».</w:t>
      </w:r>
    </w:p>
    <w:p>
      <w:pPr>
        <w:pStyle w:val="ListParagraph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Скорину И.М. –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экономики, инвестиционной политики и стратегического развития Администрации города Батайска.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/>
          <w:bCs/>
          <w:iCs/>
          <w:sz w:val="28"/>
          <w:szCs w:val="28"/>
        </w:rPr>
        <w:t xml:space="preserve">1.1.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На основании заявления генерального директора ООО «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Станко-Групп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РУС» и заключения Администрации города Батайска включить  инвестиционный проект ООО «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Станко-Групп РУС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» </w:t>
      </w:r>
      <w:r>
        <w:rPr>
          <w:rStyle w:val="115pt"/>
          <w:rFonts w:eastAsia="Times New Roman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«Современный кластер химических производств»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 в перечень инвестиционных проектов, находящихся на контроле главы Администрации города Батайска.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1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.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2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. </w:t>
      </w: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Отделу экономики, инвестиционной политики и стратегического развития Администрации города Батайска обеспечить внесение необходимых изменений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в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zh-CN"/>
        </w:rPr>
        <w:t>интерактивный модуль по сопровождению инвестиционных проектов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программного комплекса для сбора и анализа оперативной информации «Фактор».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1</w:t>
      </w: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.</w:t>
      </w: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3</w:t>
      </w: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. </w:t>
      </w:r>
      <w:bookmarkStart w:id="2" w:name="__DdeLink__707_20705212351"/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Отделу экономики, инвестиционной политики и стратегического развития Администрации города Батайска</w:t>
      </w:r>
      <w:bookmarkEnd w:id="2"/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оказывать содействие в реализации инвестиционных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проект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ов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, находящихся на контроле главы Администрации города Батайска, </w:t>
      </w: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в рамках компетенции и действующего законодательства РФ.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ascii="Times New Roman" w:hAnsi="Times New Roman" w:eastAsia="Calibri" w:cs="Times New Roman"/>
          <w:b w:val="false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2. СЛУШАЛИ: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Сахратова А.В.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–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заместителя директора АО ОРТК «Южный»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ascii="Times New Roman" w:hAnsi="Times New Roman" w:eastAsia="Calibri" w:cs="Times New Roman"/>
          <w:b w:val="false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pPr>
      <w:r>
        <w:rPr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ПОСТАНОВИЛИ: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ascii="Times New Roman" w:hAnsi="Times New Roman" w:eastAsia="Calibri" w:cs="Times New Roman"/>
          <w:b w:val="false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pPr>
      <w:r>
        <w:rPr/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2.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1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.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Доклад Сахратова А.В. принять к сведению.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</w:rPr>
      </w:pPr>
      <w:r>
        <w:rPr/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>3. СЛУШАЛИ: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>
          <w:rStyle w:val="115pt"/>
        </w:rPr>
      </w:pPr>
      <w:r>
        <w:rPr/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Буцаленко А.Н. - </w:t>
      </w:r>
      <w:r>
        <w:rPr>
          <w:rStyle w:val="115pt"/>
          <w:rFonts w:eastAsia="Calibri" w:ascii="Times New Roman" w:hAnsi="Times New Roman"/>
          <w:b w:val="false"/>
          <w:bCs w:val="false"/>
          <w:iCs/>
          <w:sz w:val="28"/>
          <w:szCs w:val="28"/>
        </w:rPr>
        <w:t>заместителя председателя Комитета по управлению имуществом города Батайска.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>
          <w:rStyle w:val="115pt"/>
          <w:rFonts w:ascii="Times New Roman" w:hAnsi="Times New Roman" w:eastAsia="Calibri"/>
          <w:b w:val="false"/>
          <w:b w:val="false"/>
          <w:bCs w:val="false"/>
          <w:iCs/>
          <w:sz w:val="28"/>
          <w:szCs w:val="28"/>
        </w:rPr>
      </w:pPr>
      <w:r>
        <w:rPr>
          <w:rFonts w:eastAsia="Calibri"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/>
      </w:pPr>
      <w:r>
        <w:rPr>
          <w:rStyle w:val="115pt"/>
          <w:rFonts w:eastAsia="Calibri" w:ascii="Times New Roman" w:hAnsi="Times New Roman"/>
          <w:b w:val="false"/>
          <w:bCs w:val="false"/>
          <w:iCs/>
          <w:sz w:val="28"/>
          <w:szCs w:val="28"/>
        </w:rPr>
        <w:t>ПОСТАНОВИЛИ: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>
          <w:rStyle w:val="115pt"/>
          <w:rFonts w:eastAsia="Calibri"/>
          <w:b w:val="false"/>
          <w:b w:val="false"/>
          <w:bCs w:val="false"/>
          <w:iCs/>
          <w:sz w:val="28"/>
          <w:szCs w:val="28"/>
        </w:rPr>
      </w:pPr>
      <w:r>
        <w:rPr/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>3</w:t>
      </w:r>
      <w:r>
        <w:rPr>
          <w:rStyle w:val="115pt"/>
          <w:rFonts w:eastAsia="Calibri"/>
          <w:iCs/>
          <w:sz w:val="28"/>
          <w:szCs w:val="28"/>
        </w:rPr>
        <w:t>.</w:t>
      </w:r>
      <w:r>
        <w:rPr>
          <w:rStyle w:val="115pt"/>
          <w:rFonts w:eastAsia="Calibri"/>
          <w:iCs/>
          <w:sz w:val="28"/>
          <w:szCs w:val="28"/>
        </w:rPr>
        <w:t>1</w:t>
      </w:r>
      <w:r>
        <w:rPr>
          <w:rStyle w:val="115pt"/>
          <w:rFonts w:eastAsia="Calibri"/>
          <w:iCs/>
          <w:sz w:val="28"/>
          <w:szCs w:val="28"/>
        </w:rPr>
        <w:t xml:space="preserve">. </w:t>
      </w:r>
      <w:r>
        <w:rPr>
          <w:rStyle w:val="115pt"/>
          <w:rFonts w:eastAsia="Calibri"/>
          <w:iCs/>
          <w:sz w:val="28"/>
          <w:szCs w:val="28"/>
        </w:rPr>
        <w:t xml:space="preserve">Доклад Буцаленко А.Н. </w:t>
      </w: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>принять к сведению.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>3.</w:t>
      </w:r>
      <w:r>
        <w:rPr>
          <w:rStyle w:val="115pt"/>
          <w:rFonts w:eastAsia="Calibri"/>
          <w:iCs/>
          <w:sz w:val="28"/>
          <w:szCs w:val="28"/>
        </w:rPr>
        <w:t>2.</w:t>
      </w:r>
      <w:r>
        <w:rPr>
          <w:rStyle w:val="115pt"/>
          <w:rFonts w:eastAsia="Calibri"/>
          <w:iCs/>
          <w:sz w:val="28"/>
          <w:szCs w:val="28"/>
        </w:rPr>
        <w:t xml:space="preserve"> </w:t>
      </w:r>
      <w:r>
        <w:rPr>
          <w:rStyle w:val="115pt"/>
          <w:rFonts w:eastAsia="Calibri"/>
          <w:iCs/>
          <w:sz w:val="28"/>
          <w:szCs w:val="28"/>
        </w:rPr>
        <w:t xml:space="preserve">Комитету по управлению имуществом </w:t>
      </w:r>
      <w:r>
        <w:rPr>
          <w:rStyle w:val="115pt"/>
          <w:rFonts w:eastAsia="Calibri"/>
          <w:iCs/>
          <w:sz w:val="28"/>
          <w:szCs w:val="28"/>
        </w:rPr>
        <w:t xml:space="preserve">города Батайска </w:t>
      </w:r>
      <w:r>
        <w:rPr>
          <w:rStyle w:val="115pt"/>
          <w:rFonts w:eastAsia="Calibri"/>
          <w:iCs/>
          <w:sz w:val="28"/>
          <w:szCs w:val="28"/>
        </w:rPr>
        <w:t>продолжить работу в данном направлении</w:t>
      </w:r>
      <w:r>
        <w:rPr>
          <w:rStyle w:val="115pt"/>
          <w:rFonts w:eastAsia="Calibri"/>
          <w:iCs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bookmarkStart w:id="3" w:name="_GoBack"/>
      <w:bookmarkStart w:id="4" w:name="_GoBack"/>
      <w:bookmarkEnd w:id="4"/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Председательствующий </w:t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rStyle w:val="115pt"/>
          <w:rFonts w:eastAsia="Calibri"/>
          <w:iCs/>
          <w:sz w:val="28"/>
          <w:szCs w:val="28"/>
        </w:rPr>
        <w:t>Волошин Р.П.</w:t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>
          <w:rFonts w:ascii="Times New Roman" w:hAnsi="Times New Roman"/>
          <w:sz w:val="28"/>
          <w:szCs w:val="28"/>
        </w:rPr>
        <w:t>Секретарь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Скорина И.М.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28a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8728a4"/>
    <w:rPr>
      <w:b w:val="false"/>
      <w:color w:val="00000A"/>
      <w:sz w:val="24"/>
      <w:szCs w:val="24"/>
    </w:rPr>
  </w:style>
  <w:style w:type="character" w:styleId="ListLabel2" w:customStyle="1">
    <w:name w:val="ListLabel 2"/>
    <w:qFormat/>
    <w:rsid w:val="008728a4"/>
    <w:rPr>
      <w:rFonts w:ascii="Times New Roman" w:hAnsi="Times New Roman"/>
      <w:b w:val="false"/>
      <w:i w:val="false"/>
      <w:sz w:val="24"/>
    </w:rPr>
  </w:style>
  <w:style w:type="character" w:styleId="ListLabel3" w:customStyle="1">
    <w:name w:val="ListLabel 3"/>
    <w:qFormat/>
    <w:rsid w:val="008728a4"/>
    <w:rPr>
      <w:b w:val="false"/>
      <w:i w:val="false"/>
      <w:sz w:val="24"/>
    </w:rPr>
  </w:style>
  <w:style w:type="character" w:styleId="ListLabel4" w:customStyle="1">
    <w:name w:val="ListLabel 4"/>
    <w:qFormat/>
    <w:rsid w:val="008728a4"/>
    <w:rPr>
      <w:b w:val="false"/>
      <w:i w:val="false"/>
      <w:sz w:val="24"/>
    </w:rPr>
  </w:style>
  <w:style w:type="character" w:styleId="ListLabel5" w:customStyle="1">
    <w:name w:val="ListLabel 5"/>
    <w:qFormat/>
    <w:rsid w:val="008728a4"/>
    <w:rPr>
      <w:rFonts w:ascii="Times New Roman" w:hAnsi="Times New Roman"/>
      <w:b w:val="false"/>
      <w:i w:val="false"/>
      <w:sz w:val="26"/>
    </w:rPr>
  </w:style>
  <w:style w:type="character" w:styleId="ListLabel6" w:customStyle="1">
    <w:name w:val="ListLabel 6"/>
    <w:qFormat/>
    <w:rsid w:val="008728a4"/>
    <w:rPr>
      <w:color w:val="00000A"/>
    </w:rPr>
  </w:style>
  <w:style w:type="character" w:styleId="ListLabel7" w:customStyle="1">
    <w:name w:val="ListLabel 7"/>
    <w:qFormat/>
    <w:rsid w:val="008728a4"/>
    <w:rPr>
      <w:rFonts w:ascii="Times New Roman" w:hAnsi="Times New Roman"/>
      <w:color w:val="00000A"/>
      <w:sz w:val="26"/>
    </w:rPr>
  </w:style>
  <w:style w:type="character" w:styleId="ListLabel8" w:customStyle="1">
    <w:name w:val="ListLabel 8"/>
    <w:qFormat/>
    <w:rsid w:val="008728a4"/>
    <w:rPr>
      <w:color w:val="00000A"/>
    </w:rPr>
  </w:style>
  <w:style w:type="character" w:styleId="ListLabel9" w:customStyle="1">
    <w:name w:val="ListLabel 9"/>
    <w:qFormat/>
    <w:rsid w:val="008728a4"/>
    <w:rPr>
      <w:color w:val="00000A"/>
    </w:rPr>
  </w:style>
  <w:style w:type="character" w:styleId="ListLabel10" w:customStyle="1">
    <w:name w:val="ListLabel 10"/>
    <w:qFormat/>
    <w:rsid w:val="008728a4"/>
    <w:rPr>
      <w:color w:val="00000A"/>
    </w:rPr>
  </w:style>
  <w:style w:type="character" w:styleId="ListLabel11" w:customStyle="1">
    <w:name w:val="ListLabel 11"/>
    <w:qFormat/>
    <w:rsid w:val="008728a4"/>
    <w:rPr>
      <w:color w:val="00000A"/>
    </w:rPr>
  </w:style>
  <w:style w:type="character" w:styleId="ListLabel12" w:customStyle="1">
    <w:name w:val="ListLabel 12"/>
    <w:qFormat/>
    <w:rsid w:val="008728a4"/>
    <w:rPr>
      <w:color w:val="00000A"/>
    </w:rPr>
  </w:style>
  <w:style w:type="character" w:styleId="ListLabel13" w:customStyle="1">
    <w:name w:val="ListLabel 13"/>
    <w:qFormat/>
    <w:rsid w:val="008728a4"/>
    <w:rPr>
      <w:color w:val="00000A"/>
    </w:rPr>
  </w:style>
  <w:style w:type="character" w:styleId="ListLabel14" w:customStyle="1">
    <w:name w:val="ListLabel 14"/>
    <w:qFormat/>
    <w:rsid w:val="008728a4"/>
    <w:rPr>
      <w:color w:val="00000A"/>
    </w:rPr>
  </w:style>
  <w:style w:type="character" w:styleId="ListLabel15" w:customStyle="1">
    <w:name w:val="ListLabel 15"/>
    <w:qFormat/>
    <w:rsid w:val="00434291"/>
    <w:rPr>
      <w:rFonts w:ascii="Times New Roman" w:hAnsi="Times New Roman"/>
      <w:b w:val="false"/>
      <w:i w:val="false"/>
      <w:sz w:val="26"/>
    </w:rPr>
  </w:style>
  <w:style w:type="character" w:styleId="ListLabel16" w:customStyle="1">
    <w:name w:val="ListLabel 16"/>
    <w:qFormat/>
    <w:rsid w:val="00434291"/>
    <w:rPr>
      <w:b w:val="false"/>
      <w:i w:val="false"/>
      <w:sz w:val="26"/>
    </w:rPr>
  </w:style>
  <w:style w:type="character" w:styleId="ListLabel17" w:customStyle="1">
    <w:name w:val="ListLabel 17"/>
    <w:qFormat/>
    <w:rsid w:val="00434291"/>
    <w:rPr>
      <w:rFonts w:ascii="Times New Roman" w:hAnsi="Times New Roman"/>
      <w:b w:val="false"/>
      <w:i w:val="false"/>
      <w:sz w:val="26"/>
    </w:rPr>
  </w:style>
  <w:style w:type="character" w:styleId="ListLabel18" w:customStyle="1">
    <w:name w:val="ListLabel 18"/>
    <w:qFormat/>
    <w:rsid w:val="00901486"/>
    <w:rPr>
      <w:b w:val="false"/>
      <w:i w:val="false"/>
      <w:sz w:val="26"/>
    </w:rPr>
  </w:style>
  <w:style w:type="character" w:styleId="ListLabel19" w:customStyle="1">
    <w:name w:val="ListLabel 19"/>
    <w:qFormat/>
    <w:rsid w:val="00901486"/>
    <w:rPr>
      <w:rFonts w:ascii="Times New Roman" w:hAnsi="Times New Roman"/>
      <w:color w:val="000000"/>
      <w:sz w:val="27"/>
    </w:rPr>
  </w:style>
  <w:style w:type="character" w:styleId="ListLabel20" w:customStyle="1">
    <w:name w:val="ListLabel 20"/>
    <w:qFormat/>
    <w:rsid w:val="00901486"/>
    <w:rPr>
      <w:b/>
      <w:color w:val="000000"/>
      <w:sz w:val="24"/>
    </w:rPr>
  </w:style>
  <w:style w:type="character" w:styleId="115pt" w:customStyle="1">
    <w:name w:val="Основной текст + 11;5 pt;Не полужирный"/>
    <w:basedOn w:val="DefaultParagraphFont"/>
    <w:qFormat/>
    <w:rsid w:val="00901486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c44fff"/>
    <w:rPr>
      <w:rFonts w:ascii="Tahoma" w:hAnsi="Tahoma" w:cs="Tahoma"/>
      <w:color w:val="00000A"/>
      <w:sz w:val="16"/>
      <w:szCs w:val="16"/>
    </w:rPr>
  </w:style>
  <w:style w:type="character" w:styleId="Fontstyle0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paragraph" w:styleId="Style15" w:customStyle="1">
    <w:name w:val="Заголовок"/>
    <w:basedOn w:val="Normal"/>
    <w:next w:val="Style16"/>
    <w:qFormat/>
    <w:rsid w:val="008728a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728a4"/>
    <w:pPr>
      <w:spacing w:lineRule="auto" w:line="288" w:before="0" w:after="140"/>
    </w:pPr>
    <w:rPr/>
  </w:style>
  <w:style w:type="paragraph" w:styleId="Style17">
    <w:name w:val="List"/>
    <w:basedOn w:val="Style16"/>
    <w:rsid w:val="008728a4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Заголовок 21"/>
    <w:basedOn w:val="Style15"/>
    <w:qFormat/>
    <w:rsid w:val="00cb086b"/>
    <w:pPr/>
    <w:rPr/>
  </w:style>
  <w:style w:type="paragraph" w:styleId="1" w:customStyle="1">
    <w:name w:val="Название объекта1"/>
    <w:basedOn w:val="Normal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8728a4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28a4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8728a4"/>
    <w:pPr/>
    <w:rPr/>
  </w:style>
  <w:style w:type="paragraph" w:styleId="Style21" w:customStyle="1">
    <w:name w:val="Заголовок таблицы"/>
    <w:basedOn w:val="Style20"/>
    <w:qFormat/>
    <w:rsid w:val="008728a4"/>
    <w:pPr/>
    <w:rPr/>
  </w:style>
  <w:style w:type="paragraph" w:styleId="NormalWeb">
    <w:name w:val="Normal (Web)"/>
    <w:basedOn w:val="Normal"/>
    <w:qFormat/>
    <w:rsid w:val="00cb086b"/>
    <w:pPr>
      <w:spacing w:beforeAutospacing="1" w:afterAutospacing="1"/>
    </w:pPr>
    <w:rPr>
      <w:sz w:val="24"/>
      <w:szCs w:val="24"/>
    </w:rPr>
  </w:style>
  <w:style w:type="paragraph" w:styleId="11" w:customStyle="1">
    <w:name w:val="Основной текст1"/>
    <w:basedOn w:val="Normal"/>
    <w:qFormat/>
    <w:rsid w:val="00cb086b"/>
    <w:pPr>
      <w:shd w:val="clear" w:color="auto" w:fill="FFFFFF"/>
      <w:spacing w:lineRule="exact" w:line="322" w:before="0" w:after="240"/>
      <w:jc w:val="both"/>
    </w:pPr>
    <w:rPr>
      <w:rFonts w:ascii="Calibri" w:hAnsi="Calibri" w:cs="" w:asciiTheme="minorHAnsi" w:cstheme="minorBidi" w:hAnsiTheme="minorHAnsi"/>
      <w:spacing w:val="10"/>
      <w:sz w:val="25"/>
      <w:szCs w:val="25"/>
    </w:rPr>
  </w:style>
  <w:style w:type="paragraph" w:styleId="BalloonText">
    <w:name w:val="Balloon Text"/>
    <w:basedOn w:val="Normal"/>
    <w:uiPriority w:val="99"/>
    <w:semiHidden/>
    <w:unhideWhenUsed/>
    <w:qFormat/>
    <w:rsid w:val="00c44f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Application>LibreOffice/5.1.2.2$Windows_X86_64 LibreOffice_project/d3bf12ecb743fc0d20e0be0c58ca359301eb705f</Application>
  <Pages>2</Pages>
  <Words>318</Words>
  <Characters>2406</Characters>
  <CharactersWithSpaces>2737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2020-10-01T12:51:00Z</dcterms:created>
  <dc:creator>Путилин</dc:creator>
  <dc:description/>
  <dc:language>ru-RU</dc:language>
  <cp:lastModifiedBy/>
  <cp:lastPrinted>2021-06-16T16:29:39Z</cp:lastPrinted>
  <dcterms:modified xsi:type="dcterms:W3CDTF">2023-03-01T15:47:45Z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