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65653113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65F4">
        <w:rPr>
          <w:sz w:val="28"/>
          <w:szCs w:val="28"/>
        </w:rPr>
        <w:t>30.10.2023</w:t>
      </w:r>
      <w:r w:rsidR="0045472D" w:rsidRPr="00F52B3D">
        <w:rPr>
          <w:sz w:val="28"/>
          <w:szCs w:val="28"/>
        </w:rPr>
        <w:t xml:space="preserve"> </w:t>
      </w:r>
      <w:r w:rsidR="00B865F4">
        <w:rPr>
          <w:sz w:val="28"/>
          <w:szCs w:val="28"/>
        </w:rPr>
        <w:t xml:space="preserve">               </w:t>
      </w:r>
      <w:bookmarkStart w:id="0" w:name="_GoBack"/>
      <w:bookmarkEnd w:id="0"/>
      <w:r w:rsidR="0045472D" w:rsidRPr="00F52B3D">
        <w:rPr>
          <w:sz w:val="28"/>
          <w:szCs w:val="28"/>
        </w:rPr>
        <w:t>№</w:t>
      </w:r>
      <w:r w:rsidR="001764D8">
        <w:rPr>
          <w:sz w:val="28"/>
          <w:szCs w:val="28"/>
        </w:rPr>
        <w:t xml:space="preserve"> </w:t>
      </w:r>
      <w:r w:rsidR="00B865F4">
        <w:rPr>
          <w:sz w:val="28"/>
          <w:szCs w:val="28"/>
        </w:rPr>
        <w:t>2993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77777777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</w:t>
      </w:r>
      <w:proofErr w:type="gramStart"/>
      <w:r w:rsidR="00303B2C" w:rsidRPr="00F52B3D">
        <w:rPr>
          <w:b/>
          <w:sz w:val="28"/>
          <w:szCs w:val="28"/>
        </w:rPr>
        <w:t>муниципальных услуг</w:t>
      </w:r>
      <w:proofErr w:type="gramEnd"/>
      <w:r w:rsidR="00303B2C" w:rsidRPr="00F52B3D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7A63E35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>
        <w:rPr>
          <w:sz w:val="28"/>
          <w:szCs w:val="28"/>
        </w:rPr>
        <w:t xml:space="preserve">, руководствуясь </w:t>
      </w:r>
      <w:r w:rsidRPr="00F52B3D">
        <w:rPr>
          <w:sz w:val="28"/>
          <w:szCs w:val="28"/>
        </w:rPr>
        <w:t xml:space="preserve">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32699646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1B34DC">
        <w:rPr>
          <w:sz w:val="28"/>
          <w:szCs w:val="28"/>
        </w:rPr>
        <w:tab/>
      </w:r>
      <w:r w:rsidR="00084DEF" w:rsidRPr="00F52B3D">
        <w:rPr>
          <w:sz w:val="28"/>
          <w:szCs w:val="28"/>
        </w:rPr>
        <w:t>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proofErr w:type="gramStart"/>
      <w:r w:rsidR="00D47DC1" w:rsidRPr="00F52B3D">
        <w:rPr>
          <w:sz w:val="28"/>
          <w:szCs w:val="28"/>
        </w:rPr>
        <w:t>муниципальных услуг</w:t>
      </w:r>
      <w:proofErr w:type="gramEnd"/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33A1A14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0FB08759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218DA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F218DA">
        <w:rPr>
          <w:sz w:val="28"/>
          <w:szCs w:val="28"/>
        </w:rPr>
        <w:t>Ерохину Л.И</w:t>
      </w:r>
      <w:r w:rsidRPr="00F52B3D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7860386D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B04472">
        <w:rPr>
          <w:sz w:val="28"/>
          <w:szCs w:val="28"/>
        </w:rPr>
        <w:t xml:space="preserve">   </w:t>
      </w:r>
      <w:r w:rsidR="00EB7AE1" w:rsidRPr="00F52B3D">
        <w:rPr>
          <w:sz w:val="28"/>
          <w:szCs w:val="28"/>
        </w:rPr>
        <w:t>Р.П. Волошин</w:t>
      </w:r>
    </w:p>
    <w:p w14:paraId="1E61B898" w14:textId="77777777" w:rsidR="00B04472" w:rsidRPr="00F52B3D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F0264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20E07761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от__________№_____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77777777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 xml:space="preserve">Реестра </w:t>
      </w:r>
      <w:proofErr w:type="gramStart"/>
      <w:r w:rsidR="004E25D9" w:rsidRPr="00F52B3D">
        <w:rPr>
          <w:sz w:val="28"/>
          <w:szCs w:val="28"/>
          <w:lang w:eastAsia="ru-RU"/>
        </w:rPr>
        <w:t>муниципальных услуг</w:t>
      </w:r>
      <w:proofErr w:type="gramEnd"/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40D7127D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B148D">
        <w:rPr>
          <w:sz w:val="28"/>
          <w:szCs w:val="28"/>
          <w:lang w:eastAsia="ru-RU"/>
        </w:rPr>
        <w:t xml:space="preserve">. </w:t>
      </w:r>
      <w:r w:rsidR="00BA67D2" w:rsidRPr="00BA67D2">
        <w:rPr>
          <w:sz w:val="28"/>
          <w:szCs w:val="28"/>
          <w:lang w:eastAsia="ru-RU"/>
        </w:rPr>
        <w:t xml:space="preserve"> </w:t>
      </w:r>
      <w:r w:rsidR="00462932">
        <w:rPr>
          <w:sz w:val="28"/>
          <w:szCs w:val="28"/>
          <w:lang w:eastAsia="ru-RU"/>
        </w:rPr>
        <w:t>Пункт</w:t>
      </w:r>
      <w:r w:rsidR="00613CDC" w:rsidRPr="00F52B3D">
        <w:rPr>
          <w:sz w:val="28"/>
          <w:szCs w:val="28"/>
          <w:lang w:eastAsia="ru-RU"/>
        </w:rPr>
        <w:t xml:space="preserve"> «</w:t>
      </w:r>
      <w:r w:rsidR="005E0D62">
        <w:rPr>
          <w:sz w:val="28"/>
          <w:szCs w:val="28"/>
          <w:lang w:eastAsia="ru-RU"/>
        </w:rPr>
        <w:t>1</w:t>
      </w:r>
      <w:r w:rsidR="00613CDC" w:rsidRPr="00F52B3D">
        <w:rPr>
          <w:sz w:val="28"/>
          <w:szCs w:val="28"/>
          <w:lang w:eastAsia="ru-RU"/>
        </w:rPr>
        <w:t xml:space="preserve">. </w:t>
      </w:r>
      <w:r w:rsidR="00D54E92" w:rsidRPr="00D54E92">
        <w:rPr>
          <w:sz w:val="28"/>
          <w:szCs w:val="28"/>
          <w:lang w:eastAsia="ru-RU"/>
        </w:rPr>
        <w:t>Управление по архитектуре и градостроительству города Батайска</w:t>
      </w:r>
      <w:r w:rsidR="005E0D62">
        <w:rPr>
          <w:sz w:val="28"/>
          <w:szCs w:val="28"/>
          <w:lang w:eastAsia="ru-RU"/>
        </w:rPr>
        <w:t>»</w:t>
      </w:r>
      <w:r w:rsidR="00613CDC" w:rsidRPr="00F52B3D">
        <w:rPr>
          <w:sz w:val="28"/>
          <w:szCs w:val="28"/>
          <w:lang w:eastAsia="ru-RU"/>
        </w:rPr>
        <w:t xml:space="preserve">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F9002B">
        <w:rPr>
          <w:sz w:val="28"/>
          <w:szCs w:val="28"/>
          <w:lang w:eastAsia="ru-RU"/>
        </w:rPr>
        <w:t>дополнить подпунктами</w:t>
      </w:r>
      <w:r w:rsidR="005E0D62">
        <w:rPr>
          <w:sz w:val="28"/>
          <w:szCs w:val="28"/>
          <w:lang w:eastAsia="ru-RU"/>
        </w:rPr>
        <w:t xml:space="preserve"> 1.19</w:t>
      </w:r>
      <w:r w:rsidR="00F9002B">
        <w:rPr>
          <w:sz w:val="28"/>
          <w:szCs w:val="28"/>
          <w:lang w:eastAsia="ru-RU"/>
        </w:rPr>
        <w:t xml:space="preserve"> и 1.20</w:t>
      </w:r>
      <w:r w:rsidR="00613CDC" w:rsidRPr="00F52B3D">
        <w:rPr>
          <w:sz w:val="28"/>
          <w:szCs w:val="28"/>
          <w:lang w:eastAsia="ru-RU"/>
        </w:rPr>
        <w:t xml:space="preserve"> </w:t>
      </w:r>
      <w:r w:rsidR="005E0D62">
        <w:rPr>
          <w:sz w:val="28"/>
          <w:szCs w:val="28"/>
          <w:lang w:eastAsia="ru-RU"/>
        </w:rPr>
        <w:t>следующего содержания</w:t>
      </w:r>
      <w:r w:rsidR="00613CDC" w:rsidRPr="00F52B3D">
        <w:rPr>
          <w:sz w:val="28"/>
          <w:szCs w:val="28"/>
          <w:lang w:eastAsia="ru-RU"/>
        </w:rPr>
        <w:t>:</w:t>
      </w:r>
    </w:p>
    <w:p w14:paraId="319A8FBE" w14:textId="77777777" w:rsidR="00613CDC" w:rsidRPr="00B52AC9" w:rsidRDefault="00613CDC" w:rsidP="00613CDC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17"/>
        <w:gridCol w:w="2006"/>
        <w:gridCol w:w="2126"/>
        <w:gridCol w:w="1417"/>
        <w:gridCol w:w="1418"/>
        <w:gridCol w:w="1984"/>
      </w:tblGrid>
      <w:tr w:rsidR="00613CDC" w:rsidRPr="00B52AC9" w14:paraId="6697EE39" w14:textId="77777777" w:rsidTr="00C6135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№ п./п.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D22EBF6" w14:textId="77777777" w:rsidR="00613CDC" w:rsidRPr="00B52AC9" w:rsidRDefault="00613CDC" w:rsidP="00613CDC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56"/>
        <w:gridCol w:w="2067"/>
        <w:gridCol w:w="2126"/>
        <w:gridCol w:w="1701"/>
        <w:gridCol w:w="1134"/>
        <w:gridCol w:w="1984"/>
      </w:tblGrid>
      <w:tr w:rsidR="00613CDC" w:rsidRPr="00B52AC9" w14:paraId="2FE63F90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6C06617F" w:rsidR="00613CDC" w:rsidRPr="00B52AC9" w:rsidRDefault="0057245B" w:rsidP="0057245B">
            <w:pPr>
              <w:ind w:left="360"/>
              <w:jc w:val="center"/>
              <w:rPr>
                <w:sz w:val="22"/>
                <w:szCs w:val="22"/>
              </w:rPr>
            </w:pPr>
            <w:r w:rsidRPr="00B52AC9">
              <w:rPr>
                <w:kern w:val="2"/>
                <w:sz w:val="22"/>
                <w:szCs w:val="22"/>
                <w:lang w:eastAsia="ru-RU"/>
              </w:rPr>
              <w:t xml:space="preserve">1. </w:t>
            </w:r>
            <w:r w:rsidR="00D54E92" w:rsidRPr="00B52AC9">
              <w:rPr>
                <w:kern w:val="2"/>
                <w:sz w:val="22"/>
                <w:szCs w:val="22"/>
                <w:lang w:eastAsia="ru-RU"/>
              </w:rPr>
              <w:t>Управление по архитектуре и градостроительству города Батайска</w:t>
            </w:r>
          </w:p>
        </w:tc>
      </w:tr>
      <w:tr w:rsidR="00613CDC" w:rsidRPr="00B52AC9" w14:paraId="63A81689" w14:textId="77777777" w:rsidTr="00C61354">
        <w:trPr>
          <w:trHeight w:val="55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1090AF38" w:rsidR="00613CDC" w:rsidRPr="00B52AC9" w:rsidRDefault="00D54E92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1</w:t>
            </w:r>
            <w:r w:rsidR="009F4E70" w:rsidRPr="00B52AC9">
              <w:rPr>
                <w:sz w:val="22"/>
                <w:szCs w:val="22"/>
              </w:rPr>
              <w:t>.</w:t>
            </w:r>
            <w:r w:rsidR="00FB148D" w:rsidRPr="00B52AC9">
              <w:rPr>
                <w:sz w:val="22"/>
                <w:szCs w:val="22"/>
              </w:rPr>
              <w:t>1</w:t>
            </w:r>
            <w:r w:rsidRPr="00B52AC9">
              <w:rPr>
                <w:sz w:val="22"/>
                <w:szCs w:val="22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2C9AA939" w:rsidR="00613CDC" w:rsidRPr="00B52AC9" w:rsidRDefault="00D54E92" w:rsidP="00FB148D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2DC6" w14:textId="67B755E8" w:rsidR="00CA61CC" w:rsidRPr="00B52AC9" w:rsidRDefault="00AE6E32" w:rsidP="002A59CE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Градостроительный кодекс РФ от 29.12.2004 № 190-ФЗ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7D81FA45" w:rsidR="00613CDC" w:rsidRPr="00B52AC9" w:rsidRDefault="00341842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</w:t>
            </w:r>
            <w:r w:rsidR="002A59CE" w:rsidRPr="00B52AC9">
              <w:rPr>
                <w:color w:val="000000"/>
                <w:sz w:val="22"/>
                <w:szCs w:val="22"/>
              </w:rPr>
              <w:t>изические</w:t>
            </w:r>
            <w:r w:rsidRPr="00B52AC9">
              <w:rPr>
                <w:color w:val="000000"/>
                <w:sz w:val="22"/>
                <w:szCs w:val="22"/>
              </w:rPr>
              <w:t xml:space="preserve"> и юридические</w:t>
            </w:r>
            <w:r w:rsidR="002A59CE" w:rsidRPr="00B52AC9">
              <w:rPr>
                <w:color w:val="000000"/>
                <w:sz w:val="22"/>
                <w:szCs w:val="22"/>
              </w:rPr>
              <w:t xml:space="preserve"> </w:t>
            </w:r>
            <w:r w:rsidR="00CA61CC" w:rsidRPr="00B52AC9">
              <w:rPr>
                <w:color w:val="000000"/>
                <w:sz w:val="22"/>
                <w:szCs w:val="22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B52AC9" w:rsidRDefault="00613CDC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6DF01B77" w:rsidR="00CA61CC" w:rsidRPr="00B52AC9" w:rsidRDefault="00316EDC" w:rsidP="00FB148D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Решение о подготовке документации по планировке территории / решение об утверждении документации по планировке территории </w:t>
            </w:r>
            <w:r w:rsidR="002A59CE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  <w:tr w:rsidR="00F162AC" w:rsidRPr="00B52AC9" w14:paraId="7C0F642A" w14:textId="77777777" w:rsidTr="00C61354">
        <w:trPr>
          <w:trHeight w:val="55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D5AFC" w14:textId="75829ABD" w:rsidR="00F162AC" w:rsidRPr="00B52AC9" w:rsidRDefault="00F16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85FCC" w14:textId="5C774D31" w:rsidR="00F162AC" w:rsidRPr="00B52AC9" w:rsidRDefault="00F162AC" w:rsidP="00FB148D">
            <w:pPr>
              <w:rPr>
                <w:sz w:val="22"/>
                <w:szCs w:val="22"/>
              </w:rPr>
            </w:pPr>
            <w:r w:rsidRPr="00F162AC"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DE51" w14:textId="2DFA4738" w:rsidR="00F162AC" w:rsidRPr="00B52AC9" w:rsidRDefault="00F162AC" w:rsidP="002A59CE">
            <w:pPr>
              <w:rPr>
                <w:sz w:val="22"/>
                <w:szCs w:val="22"/>
              </w:rPr>
            </w:pPr>
            <w:r w:rsidRPr="00F162AC">
              <w:rPr>
                <w:sz w:val="22"/>
                <w:szCs w:val="22"/>
              </w:rPr>
              <w:t>Градостроительный кодекс РФ от 29.12.2004 № 190-ФЗ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8EA8" w14:textId="2E906374" w:rsidR="00F162AC" w:rsidRPr="00B52AC9" w:rsidRDefault="00F162AC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162AC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BCF1" w14:textId="16DD954B" w:rsidR="00F162AC" w:rsidRPr="00B52AC9" w:rsidRDefault="00F162AC">
            <w:pPr>
              <w:rPr>
                <w:sz w:val="22"/>
                <w:szCs w:val="22"/>
              </w:rPr>
            </w:pPr>
            <w:r w:rsidRPr="00F162AC">
              <w:rPr>
                <w:sz w:val="22"/>
                <w:szCs w:val="22"/>
              </w:rPr>
              <w:t>бесплатная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3155" w14:textId="131CE1E3" w:rsidR="00F162AC" w:rsidRPr="00B52AC9" w:rsidRDefault="00F162AC" w:rsidP="00FB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162AC">
              <w:rPr>
                <w:sz w:val="22"/>
                <w:szCs w:val="22"/>
              </w:rPr>
              <w:t>ведомлению о планируемом сносе объекта капитального строительства</w:t>
            </w:r>
            <w:r>
              <w:rPr>
                <w:sz w:val="22"/>
                <w:szCs w:val="22"/>
              </w:rPr>
              <w:t xml:space="preserve"> / </w:t>
            </w:r>
            <w:r w:rsidRPr="00F162AC">
              <w:rPr>
                <w:sz w:val="22"/>
                <w:szCs w:val="22"/>
              </w:rPr>
              <w:t>уведомления о завершении сноса объекта капитального строительства</w:t>
            </w:r>
            <w:r>
              <w:rPr>
                <w:sz w:val="22"/>
                <w:szCs w:val="22"/>
              </w:rPr>
              <w:t xml:space="preserve"> / </w:t>
            </w:r>
            <w:r w:rsidRPr="00F162AC">
              <w:rPr>
                <w:sz w:val="22"/>
                <w:szCs w:val="22"/>
              </w:rPr>
              <w:t>отказ в предоставлении услуги</w:t>
            </w:r>
          </w:p>
        </w:tc>
      </w:tr>
    </w:tbl>
    <w:p w14:paraId="2E6BC8D1" w14:textId="77777777" w:rsidR="0061502A" w:rsidRDefault="0061502A" w:rsidP="00F162AC">
      <w:pPr>
        <w:contextualSpacing/>
        <w:jc w:val="both"/>
        <w:rPr>
          <w:sz w:val="28"/>
          <w:szCs w:val="28"/>
          <w:lang w:eastAsia="ru-RU"/>
        </w:rPr>
      </w:pPr>
    </w:p>
    <w:p w14:paraId="33A33FEF" w14:textId="7E86FA28" w:rsidR="0061502A" w:rsidRPr="00F52B3D" w:rsidRDefault="0061502A" w:rsidP="0061502A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2. </w:t>
      </w:r>
      <w:r w:rsidRPr="00BA67D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Пункт</w:t>
      </w:r>
      <w:r w:rsidRPr="00F52B3D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13</w:t>
      </w:r>
      <w:r w:rsidRPr="00F52B3D">
        <w:rPr>
          <w:sz w:val="28"/>
          <w:szCs w:val="28"/>
          <w:lang w:eastAsia="ru-RU"/>
        </w:rPr>
        <w:t xml:space="preserve">. </w:t>
      </w:r>
      <w:r w:rsidRPr="0061502A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6D7DF5">
        <w:rPr>
          <w:sz w:val="28"/>
          <w:szCs w:val="28"/>
          <w:lang w:eastAsia="ru-RU"/>
        </w:rPr>
        <w:t>»</w:t>
      </w:r>
      <w:r w:rsidRPr="00F52B3D">
        <w:rPr>
          <w:sz w:val="28"/>
          <w:szCs w:val="28"/>
          <w:lang w:eastAsia="ru-RU"/>
        </w:rPr>
        <w:t xml:space="preserve"> </w:t>
      </w:r>
      <w:r w:rsidR="00F02644">
        <w:rPr>
          <w:sz w:val="28"/>
          <w:szCs w:val="28"/>
          <w:lang w:eastAsia="ru-RU"/>
        </w:rPr>
        <w:t xml:space="preserve">Раздела </w:t>
      </w:r>
      <w:r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>
        <w:rPr>
          <w:sz w:val="28"/>
          <w:szCs w:val="28"/>
          <w:lang w:eastAsia="ru-RU"/>
        </w:rPr>
        <w:t>дополнить подпунктом 13.27</w:t>
      </w:r>
      <w:r w:rsidRPr="00F52B3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следующего содержания</w:t>
      </w:r>
      <w:r w:rsidRPr="00F52B3D">
        <w:rPr>
          <w:sz w:val="28"/>
          <w:szCs w:val="28"/>
          <w:lang w:eastAsia="ru-RU"/>
        </w:rPr>
        <w:t>:</w:t>
      </w:r>
    </w:p>
    <w:p w14:paraId="18D8728B" w14:textId="77777777" w:rsidR="0061502A" w:rsidRPr="00B52AC9" w:rsidRDefault="0061502A" w:rsidP="0061502A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17"/>
        <w:gridCol w:w="2006"/>
        <w:gridCol w:w="2126"/>
        <w:gridCol w:w="1712"/>
        <w:gridCol w:w="1123"/>
        <w:gridCol w:w="1984"/>
      </w:tblGrid>
      <w:tr w:rsidR="0061502A" w:rsidRPr="00B52AC9" w14:paraId="2240BC44" w14:textId="77777777" w:rsidTr="00C6135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F33F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№ п./п.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8CEE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6686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D0EA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5741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45F0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28833966" w14:textId="77777777" w:rsidR="0061502A" w:rsidRPr="00B52AC9" w:rsidRDefault="0061502A" w:rsidP="0061502A">
      <w:pPr>
        <w:jc w:val="both"/>
        <w:rPr>
          <w:kern w:val="2"/>
          <w:sz w:val="22"/>
          <w:szCs w:val="22"/>
          <w:lang w:eastAsia="ru-RU"/>
        </w:rPr>
      </w:pPr>
    </w:p>
    <w:p w14:paraId="4D3DB67A" w14:textId="77777777" w:rsidR="0061502A" w:rsidRPr="00B52AC9" w:rsidRDefault="0061502A" w:rsidP="0061502A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60"/>
        <w:gridCol w:w="1963"/>
        <w:gridCol w:w="2126"/>
        <w:gridCol w:w="1701"/>
        <w:gridCol w:w="1134"/>
        <w:gridCol w:w="1984"/>
      </w:tblGrid>
      <w:tr w:rsidR="0061502A" w:rsidRPr="00B52AC9" w14:paraId="11F5A571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378B" w14:textId="1EA2FA6B" w:rsidR="0061502A" w:rsidRPr="00B52AC9" w:rsidRDefault="0061502A" w:rsidP="00F22989">
            <w:pPr>
              <w:ind w:left="360"/>
              <w:jc w:val="center"/>
              <w:rPr>
                <w:sz w:val="22"/>
                <w:szCs w:val="22"/>
              </w:rPr>
            </w:pPr>
            <w:r w:rsidRPr="00B52AC9">
              <w:rPr>
                <w:kern w:val="2"/>
                <w:sz w:val="22"/>
                <w:szCs w:val="22"/>
                <w:lang w:eastAsia="ru-RU"/>
              </w:rPr>
              <w:t>1</w:t>
            </w:r>
            <w:r>
              <w:rPr>
                <w:kern w:val="2"/>
                <w:sz w:val="22"/>
                <w:szCs w:val="22"/>
                <w:lang w:eastAsia="ru-RU"/>
              </w:rPr>
              <w:t>3</w:t>
            </w:r>
            <w:r w:rsidRPr="00B52AC9">
              <w:rPr>
                <w:kern w:val="2"/>
                <w:sz w:val="22"/>
                <w:szCs w:val="22"/>
                <w:lang w:eastAsia="ru-RU"/>
              </w:rPr>
              <w:t xml:space="preserve">. </w:t>
            </w:r>
            <w:r w:rsidR="00F162AC" w:rsidRPr="00F162AC">
              <w:rPr>
                <w:kern w:val="2"/>
                <w:sz w:val="22"/>
                <w:szCs w:val="22"/>
                <w:lang w:eastAsia="ru-RU"/>
              </w:rPr>
              <w:t>Комитет по управлению имуществом города Батайска</w:t>
            </w:r>
          </w:p>
        </w:tc>
      </w:tr>
      <w:tr w:rsidR="0061502A" w:rsidRPr="00B52AC9" w14:paraId="54297B75" w14:textId="77777777" w:rsidTr="00C61354">
        <w:trPr>
          <w:trHeight w:val="55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8A0A4" w14:textId="3C37AAFB" w:rsidR="0061502A" w:rsidRPr="0061502A" w:rsidRDefault="0061502A" w:rsidP="00F22989">
            <w:pPr>
              <w:rPr>
                <w:sz w:val="22"/>
                <w:szCs w:val="22"/>
              </w:rPr>
            </w:pPr>
            <w:r w:rsidRPr="0061502A">
              <w:rPr>
                <w:sz w:val="22"/>
                <w:szCs w:val="22"/>
              </w:rPr>
              <w:t>13.27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7D15" w14:textId="3191578C" w:rsidR="0061502A" w:rsidRPr="00B52AC9" w:rsidRDefault="0061502A" w:rsidP="00F22989">
            <w:pPr>
              <w:rPr>
                <w:sz w:val="22"/>
                <w:szCs w:val="22"/>
              </w:rPr>
            </w:pPr>
            <w:r w:rsidRPr="0061502A">
              <w:rPr>
                <w:sz w:val="22"/>
                <w:szCs w:val="22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6FBD" w14:textId="4BB5C29D" w:rsidR="0061502A" w:rsidRPr="00B52AC9" w:rsidRDefault="0061502A" w:rsidP="00F22989">
            <w:pPr>
              <w:rPr>
                <w:sz w:val="22"/>
                <w:szCs w:val="22"/>
              </w:rPr>
            </w:pPr>
            <w:r w:rsidRPr="0061502A">
              <w:rPr>
                <w:sz w:val="22"/>
                <w:szCs w:val="22"/>
              </w:rPr>
              <w:t>«Земельный кодекс Российской Федерации» от 25.10.2001 № 136-ФЗ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68B9" w14:textId="77777777" w:rsidR="0061502A" w:rsidRPr="00B52AC9" w:rsidRDefault="0061502A" w:rsidP="00F2298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4A7D" w14:textId="77777777" w:rsidR="0061502A" w:rsidRPr="00B52AC9" w:rsidRDefault="0061502A" w:rsidP="00F22989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699E" w14:textId="43A02B4F" w:rsidR="0061502A" w:rsidRPr="00B52AC9" w:rsidRDefault="0061502A" w:rsidP="00F22989">
            <w:pPr>
              <w:rPr>
                <w:sz w:val="22"/>
                <w:szCs w:val="22"/>
              </w:rPr>
            </w:pPr>
            <w:r w:rsidRPr="0061502A">
              <w:rPr>
                <w:sz w:val="22"/>
                <w:szCs w:val="22"/>
              </w:rPr>
              <w:t>Соглашение об установлении сервитута в отношении земельного участка, находящегося в государственной или муниципальной собственности</w:t>
            </w:r>
            <w:r>
              <w:rPr>
                <w:sz w:val="22"/>
                <w:szCs w:val="22"/>
              </w:rPr>
              <w:t xml:space="preserve"> </w:t>
            </w:r>
            <w:r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0D382BA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3EEEB65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D93707" w14:textId="77777777" w:rsidR="00E75B29" w:rsidRPr="00AD72FA" w:rsidRDefault="00E75B29" w:rsidP="009F416E">
      <w:pPr>
        <w:rPr>
          <w:sz w:val="24"/>
          <w:szCs w:val="24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</w:t>
      </w:r>
      <w:proofErr w:type="spellStart"/>
      <w:r w:rsidRPr="00F52B3D">
        <w:rPr>
          <w:sz w:val="28"/>
          <w:szCs w:val="28"/>
          <w:lang w:eastAsia="ru-RU"/>
        </w:rPr>
        <w:t>Мирошникова</w:t>
      </w:r>
      <w:proofErr w:type="spellEnd"/>
    </w:p>
    <w:sectPr w:rsidR="00E75B29" w:rsidRPr="00AD72FA" w:rsidSect="00F02644">
      <w:headerReference w:type="default" r:id="rId12"/>
      <w:pgSz w:w="11906" w:h="16838"/>
      <w:pgMar w:top="1134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2F8C9" w14:textId="77777777" w:rsidR="00611547" w:rsidRDefault="00611547">
      <w:r>
        <w:separator/>
      </w:r>
    </w:p>
  </w:endnote>
  <w:endnote w:type="continuationSeparator" w:id="0">
    <w:p w14:paraId="2B287AA2" w14:textId="77777777" w:rsidR="00611547" w:rsidRDefault="0061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43454" w14:textId="77777777" w:rsidR="00611547" w:rsidRDefault="00611547">
      <w:r>
        <w:separator/>
      </w:r>
    </w:p>
  </w:footnote>
  <w:footnote w:type="continuationSeparator" w:id="0">
    <w:p w14:paraId="3859F7A4" w14:textId="77777777" w:rsidR="00611547" w:rsidRDefault="0061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B865F4">
      <w:rPr>
        <w:noProof/>
        <w:sz w:val="24"/>
        <w:szCs w:val="24"/>
      </w:rPr>
      <w:t>3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255D"/>
    <w:rsid w:val="00044D1D"/>
    <w:rsid w:val="000470FE"/>
    <w:rsid w:val="00047E68"/>
    <w:rsid w:val="0005303E"/>
    <w:rsid w:val="0006017E"/>
    <w:rsid w:val="0006081F"/>
    <w:rsid w:val="00084DEF"/>
    <w:rsid w:val="00092422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74760"/>
    <w:rsid w:val="001764D8"/>
    <w:rsid w:val="00194952"/>
    <w:rsid w:val="001A0573"/>
    <w:rsid w:val="001A57C5"/>
    <w:rsid w:val="001A662D"/>
    <w:rsid w:val="001B34DC"/>
    <w:rsid w:val="001C4986"/>
    <w:rsid w:val="001D7511"/>
    <w:rsid w:val="001E3430"/>
    <w:rsid w:val="001F0B23"/>
    <w:rsid w:val="002000A7"/>
    <w:rsid w:val="002045D5"/>
    <w:rsid w:val="00211FEA"/>
    <w:rsid w:val="002138E0"/>
    <w:rsid w:val="00213AF7"/>
    <w:rsid w:val="002354F5"/>
    <w:rsid w:val="002556BB"/>
    <w:rsid w:val="00261643"/>
    <w:rsid w:val="00263696"/>
    <w:rsid w:val="00263F12"/>
    <w:rsid w:val="00272713"/>
    <w:rsid w:val="002777DE"/>
    <w:rsid w:val="00287F81"/>
    <w:rsid w:val="0029064E"/>
    <w:rsid w:val="00294D37"/>
    <w:rsid w:val="002A0B2E"/>
    <w:rsid w:val="002A59CE"/>
    <w:rsid w:val="002B274D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16EDC"/>
    <w:rsid w:val="00322B38"/>
    <w:rsid w:val="003308B5"/>
    <w:rsid w:val="00333677"/>
    <w:rsid w:val="00341842"/>
    <w:rsid w:val="00346FA4"/>
    <w:rsid w:val="00356A38"/>
    <w:rsid w:val="003801CC"/>
    <w:rsid w:val="0038720E"/>
    <w:rsid w:val="00387B4C"/>
    <w:rsid w:val="003B5F5B"/>
    <w:rsid w:val="00410C35"/>
    <w:rsid w:val="0042343F"/>
    <w:rsid w:val="00424171"/>
    <w:rsid w:val="004457BF"/>
    <w:rsid w:val="0045472D"/>
    <w:rsid w:val="00462932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1065F"/>
    <w:rsid w:val="005110DE"/>
    <w:rsid w:val="00526280"/>
    <w:rsid w:val="00531D55"/>
    <w:rsid w:val="00550C3A"/>
    <w:rsid w:val="005531F2"/>
    <w:rsid w:val="0057245B"/>
    <w:rsid w:val="00576431"/>
    <w:rsid w:val="00582480"/>
    <w:rsid w:val="00587983"/>
    <w:rsid w:val="00590322"/>
    <w:rsid w:val="0059308E"/>
    <w:rsid w:val="005932A2"/>
    <w:rsid w:val="005A0057"/>
    <w:rsid w:val="005B5CA0"/>
    <w:rsid w:val="005B7001"/>
    <w:rsid w:val="005C641C"/>
    <w:rsid w:val="005E0D62"/>
    <w:rsid w:val="005F15F2"/>
    <w:rsid w:val="00602AEF"/>
    <w:rsid w:val="0060443A"/>
    <w:rsid w:val="00611547"/>
    <w:rsid w:val="00611BD8"/>
    <w:rsid w:val="00613CDC"/>
    <w:rsid w:val="006146A8"/>
    <w:rsid w:val="0061502A"/>
    <w:rsid w:val="00616E88"/>
    <w:rsid w:val="00663340"/>
    <w:rsid w:val="00676A44"/>
    <w:rsid w:val="00690412"/>
    <w:rsid w:val="006A7D7A"/>
    <w:rsid w:val="006B3EEC"/>
    <w:rsid w:val="006B5F64"/>
    <w:rsid w:val="006C2E65"/>
    <w:rsid w:val="006D1531"/>
    <w:rsid w:val="006D7DF5"/>
    <w:rsid w:val="006E17DC"/>
    <w:rsid w:val="006E32F2"/>
    <w:rsid w:val="006E6C61"/>
    <w:rsid w:val="006E7ED9"/>
    <w:rsid w:val="006F54BD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6C68"/>
    <w:rsid w:val="0087708C"/>
    <w:rsid w:val="008856B6"/>
    <w:rsid w:val="008A567A"/>
    <w:rsid w:val="008C7C40"/>
    <w:rsid w:val="008E4507"/>
    <w:rsid w:val="008F08D7"/>
    <w:rsid w:val="008F3668"/>
    <w:rsid w:val="009023ED"/>
    <w:rsid w:val="00902A82"/>
    <w:rsid w:val="009526C0"/>
    <w:rsid w:val="009618AE"/>
    <w:rsid w:val="00980EFB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5799"/>
    <w:rsid w:val="00A70E80"/>
    <w:rsid w:val="00A7501F"/>
    <w:rsid w:val="00A82045"/>
    <w:rsid w:val="00A91140"/>
    <w:rsid w:val="00A92173"/>
    <w:rsid w:val="00A96763"/>
    <w:rsid w:val="00AB0288"/>
    <w:rsid w:val="00AB3E64"/>
    <w:rsid w:val="00AC2F69"/>
    <w:rsid w:val="00AD55E3"/>
    <w:rsid w:val="00AD72FA"/>
    <w:rsid w:val="00AE0613"/>
    <w:rsid w:val="00AE2F87"/>
    <w:rsid w:val="00AE6E32"/>
    <w:rsid w:val="00AF6F71"/>
    <w:rsid w:val="00B04472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6ECB"/>
    <w:rsid w:val="00B731E7"/>
    <w:rsid w:val="00B83D4D"/>
    <w:rsid w:val="00B865F4"/>
    <w:rsid w:val="00B869C3"/>
    <w:rsid w:val="00B92123"/>
    <w:rsid w:val="00BA3BA5"/>
    <w:rsid w:val="00BA67D2"/>
    <w:rsid w:val="00BB0C6E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1354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E39E8"/>
    <w:rsid w:val="00CE4E9B"/>
    <w:rsid w:val="00CE6CD8"/>
    <w:rsid w:val="00CF20E7"/>
    <w:rsid w:val="00CF287D"/>
    <w:rsid w:val="00D00F8A"/>
    <w:rsid w:val="00D0726D"/>
    <w:rsid w:val="00D11A91"/>
    <w:rsid w:val="00D16507"/>
    <w:rsid w:val="00D2330D"/>
    <w:rsid w:val="00D27935"/>
    <w:rsid w:val="00D3069B"/>
    <w:rsid w:val="00D32700"/>
    <w:rsid w:val="00D33C43"/>
    <w:rsid w:val="00D36F97"/>
    <w:rsid w:val="00D47DC1"/>
    <w:rsid w:val="00D531FB"/>
    <w:rsid w:val="00D54E92"/>
    <w:rsid w:val="00D607FE"/>
    <w:rsid w:val="00D64C0F"/>
    <w:rsid w:val="00D80E5D"/>
    <w:rsid w:val="00D840B8"/>
    <w:rsid w:val="00DA0E98"/>
    <w:rsid w:val="00DB4D5C"/>
    <w:rsid w:val="00DD3D8A"/>
    <w:rsid w:val="00DD76AC"/>
    <w:rsid w:val="00DE0562"/>
    <w:rsid w:val="00DE1143"/>
    <w:rsid w:val="00DE325D"/>
    <w:rsid w:val="00DE4D63"/>
    <w:rsid w:val="00E10B8D"/>
    <w:rsid w:val="00E151DA"/>
    <w:rsid w:val="00E30E87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1763"/>
    <w:rsid w:val="00EA031B"/>
    <w:rsid w:val="00EA1606"/>
    <w:rsid w:val="00EB7AE1"/>
    <w:rsid w:val="00ED3D0C"/>
    <w:rsid w:val="00EE7BB5"/>
    <w:rsid w:val="00EF6BB0"/>
    <w:rsid w:val="00EF70BC"/>
    <w:rsid w:val="00F01108"/>
    <w:rsid w:val="00F02644"/>
    <w:rsid w:val="00F162AC"/>
    <w:rsid w:val="00F218DA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chartTrackingRefBased/>
  <w15:docId w15:val="{C0E7D031-32D4-46B6-8D03-DEC7E7D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arm-307-1_</cp:lastModifiedBy>
  <cp:revision>25</cp:revision>
  <cp:lastPrinted>2023-10-04T07:29:00Z</cp:lastPrinted>
  <dcterms:created xsi:type="dcterms:W3CDTF">2023-04-24T09:26:00Z</dcterms:created>
  <dcterms:modified xsi:type="dcterms:W3CDTF">2023-10-30T11:05:00Z</dcterms:modified>
</cp:coreProperties>
</file>