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spacing w:after="200" w:line="276" w:lineRule="auto"/>
        <w:jc w:val="center"/>
        <w:widowControl/>
        <w:tabs defTabSz="708">
          <w:tab w:val="left" w:pos="1560" w:leader="none"/>
        </w:tabs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  <w:t>Уголовная ответственность за неуважение к суду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Неуважение к суду выражается в оскорблении участников судебного разбирательства, судьи, присяжного заседателя или иного лица, участвующего в отправлении правосудия. К ним относятся:подсудимый и его защитник, прокурор, законный представитель несовершеннолетнего, потерпевший, гражданский истец и гражданский ответчик, а также их представители, эксперт, специалист, переводчик, свидетели.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Под оскорблением понимаются действия, направленные на унижение чести и достоинства указанных в статье лиц, выраженные в неприличной форме. Неприличной следует считать циничную, глубоко противоречащую нравственным нормам, правилам поведения в обществе форму унизительного обращения с человеком.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Оскорбление может быть нанесено устно, письменно или путем различных действий.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Ответственность за неуважение к суду наступает только в случае, когда преступление совершено в связи с участием указанных в статье лиц в разбирательстве дела в суде и независимо от того, совершены ли оскорбительные действия в судах общей юрисдикции при рассмотрении дела по первой инстанции, в апелляционном либо кассационном порядке, или они допущены при разбирательстве дел в Конституционном, Верховном судах РФ или арбитражных судах.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Уголовная ответственность за неуважение к суду предусмотрена либо в виде штрафа в размере до 200 тысяч рублей, либо обязательных работ на срок до 480 часов, либо исправительных работ на срок до 2-х лет, либо ареста на срок до 6 месяцев.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</w:r>
    </w:p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46"/>
    </w:tmLastPosCaret>
    <w:tmLastPosAnchor>
      <w:tmLastPosPgfIdx w:val="1"/>
      <w:tmLastPosIdx w:val="0"/>
    </w:tmLastPosAnchor>
    <w:tmLastPosTblRect w:left="0" w:top="0" w:right="0" w:bottom="0"/>
  </w:tmLastPos>
  <w:tmAppRevision w:date="165468935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2022-06-08T11:55:59Z</dcterms:modified>
</cp:coreProperties>
</file>