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Об установлении нового порядка признания лица инвалидом</w:t>
      </w:r>
      <w:r>
        <w:rPr>
          <w:rFonts w:eastAsia="Times New Roman"/>
          <w:color w:val="333333"/>
          <w:kern w:val="0"/>
          <w:sz w:val="28"/>
          <w:szCs w:val="28"/>
          <w:lang w:eastAsia="zh-cn"/>
        </w:rPr>
        <w:t> </w:t>
      </w: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Правительством Российской Федерации принято Постановление от 05.04.2022 № 588 «О признании лица инвалидом», которым установлен новый порядок и правила признания лица инвалидом.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Новые Правила заменят действующий до 01 июля 2022 года упрощенный порядок признания лица инвалидом, введенный ранее.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Согласно нововведениям, медико-социальная экспертиза проводится бюро медико-социальной экспертизы следующими способами по выбору гражданина: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без личного присутствия гражданина,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с личным присутствием гражданина,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с выездом по месту его нахождения,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дистанционно с применением информационно-коммуникационных технологий.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При этом, личное присутствие гражданина будет обязательным в случае: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наличия несоответствия между данными медицинских исследований и заключениями врачей, направивших человека для проведения медико- социальной экспертизы;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необходимости обследования гражданина с помощью специального диагностического оборудования;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проживания пациента в интернате;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- корректировки индивидуальной программы реабилитации.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С 01 июля 2023 года пройти медико-социальную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возможность связи со специалистами главного или федерального бюро МСЭ и прохождения повторной экспертизы.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С 01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госуслуг</w:t>
      </w:r>
      <w:r>
        <w:rPr>
          <w:rFonts w:eastAsia="Times New Roman"/>
          <w:color w:val="333333"/>
          <w:kern w:val="0"/>
          <w:sz w:val="28"/>
          <w:szCs w:val="28"/>
          <w:lang w:eastAsia="zh-cn"/>
        </w:rPr>
        <w:t xml:space="preserve"> или по почте. При этом,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Постановление вступает в силу с 01 июля 2022 года, за исключением некоторых положений, для которых установлены специальные сроки  вступления в силу.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535966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2022-06-16T06:07:42Z</dcterms:modified>
</cp:coreProperties>
</file>