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709"/>
        <w:contextualSpacing/>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b/>
          <w:bCs/>
          <w:color w:val="333333"/>
          <w:kern w:val="0"/>
          <w:sz w:val="28"/>
          <w:szCs w:val="28"/>
          <w:lang w:eastAsia="zh-cn"/>
        </w:rPr>
      </w:pPr>
      <w:r>
        <w:rPr>
          <w:rFonts w:eastAsia="Times New Roman"/>
          <w:b/>
          <w:bCs/>
          <w:color w:val="333333"/>
          <w:kern w:val="0"/>
          <w:sz w:val="28"/>
          <w:szCs w:val="28"/>
          <w:lang w:eastAsia="zh-cn"/>
        </w:rPr>
        <w:t>Об особенностях привлечения юридических лиц к административной ответственности по статье 19.28 КоАП РФ</w:t>
      </w:r>
    </w:p>
    <w:p>
      <w:pPr>
        <w:ind w:firstLine="709"/>
        <w:contextualSpacing/>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000000"/>
          <w:kern w:val="0"/>
          <w:sz w:val="24"/>
          <w:szCs w:val="24"/>
          <w:lang w:eastAsia="zh-cn"/>
        </w:rPr>
      </w:pPr>
      <w:r>
        <w:rPr>
          <w:rFonts w:ascii="Roboto" w:hAnsi="Roboto" w:eastAsia="Times New Roman"/>
          <w:color w:val="000000"/>
          <w:kern w:val="0"/>
          <w:sz w:val="24"/>
          <w:szCs w:val="24"/>
          <w:lang w:eastAsia="zh-cn"/>
        </w:rPr>
        <w:t> </w:t>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ascii="Roboto" w:hAnsi="Roboto" w:eastAsia="Times New Roman"/>
          <w:color w:val="333333"/>
          <w:kern w:val="0"/>
          <w:sz w:val="24"/>
          <w:szCs w:val="24"/>
          <w:lang w:eastAsia="zh-cn"/>
        </w:rPr>
        <w:t>Статьей 3 Федерального закона «О противодействии коррупции» к основным принципам противодействия коррупции отнесено приоритетное применение мер по ее предупреждению.</w:t>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ascii="Roboto" w:hAnsi="Roboto" w:eastAsia="Times New Roman"/>
          <w:color w:val="333333"/>
          <w:kern w:val="0"/>
          <w:sz w:val="24"/>
          <w:szCs w:val="24"/>
          <w:lang w:eastAsia="zh-cn"/>
        </w:rPr>
        <w:t>Действующим законодательством предусмотрена возможность применения к юридическому лицу, от имени или в интересах которого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мер ответственности в соответствии с законодательством Российской Федерации.</w:t>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ascii="Roboto" w:hAnsi="Roboto" w:eastAsia="Times New Roman"/>
          <w:color w:val="333333"/>
          <w:kern w:val="0"/>
          <w:sz w:val="24"/>
          <w:szCs w:val="24"/>
          <w:lang w:eastAsia="zh-cn"/>
        </w:rPr>
        <w:t>Так, статья 19.28 КоАП РФ предусматривает ответственность юридических лиц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ascii="Roboto" w:hAnsi="Roboto" w:eastAsia="Times New Roman"/>
          <w:color w:val="333333"/>
          <w:kern w:val="0"/>
          <w:sz w:val="24"/>
          <w:szCs w:val="24"/>
          <w:lang w:eastAsia="zh-cn"/>
        </w:rPr>
        <w:t>Совершение этого правонарушения 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ascii="Roboto" w:hAnsi="Roboto" w:eastAsia="Times New Roman"/>
          <w:color w:val="333333"/>
          <w:kern w:val="0"/>
          <w:sz w:val="24"/>
          <w:szCs w:val="24"/>
          <w:lang w:eastAsia="zh-cn"/>
        </w:rPr>
        <w:t>Отличительной особенностью административных правонарушений, предусмотренных ст. 19.28 КоАП РФ, являются существенные суммы штрафов, значительно превышающие размеры штрафов по иным составам административных правонарушений.</w:t>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ascii="Roboto" w:hAnsi="Roboto" w:eastAsia="Times New Roman"/>
          <w:color w:val="333333"/>
          <w:kern w:val="0"/>
          <w:sz w:val="24"/>
          <w:szCs w:val="24"/>
          <w:lang w:eastAsia="zh-cn"/>
        </w:rPr>
        <w:t>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ст. 19.28 КоАП РФ, применяется предусмотренный статьей 27.20 КоАП РФ арест имущества юридического лица, в отношении которого ведется производство по делу. Данная мера обеспечения производства заключается в запрете юридическому лицу распоряжаться арестованным имуществом, в установлении ограничений, связанных с владением и пользованием таким имуществом.</w:t>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ascii="Roboto" w:hAnsi="Roboto" w:eastAsia="Times New Roman"/>
          <w:color w:val="333333"/>
          <w:kern w:val="0"/>
          <w:sz w:val="24"/>
          <w:szCs w:val="24"/>
          <w:lang w:eastAsia="zh-cn"/>
        </w:rPr>
        <w:t>Арест денежных средств, находящихся во вкладах и на счетах в банках или иных кредитных организациях, осуществляется в случаях отсутствия у юридического лица иного имущества.</w:t>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ascii="Roboto" w:hAnsi="Roboto" w:eastAsia="Times New Roman"/>
          <w:color w:val="333333"/>
          <w:kern w:val="0"/>
          <w:sz w:val="24"/>
          <w:szCs w:val="24"/>
          <w:lang w:eastAsia="zh-cn"/>
        </w:rPr>
        <w:t>Юридическое лицо может быть освобождено от ответственности за административное правонарушение,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 (примечание 5 к статье 19.28 КоАП РФ).</w:t>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ascii="Roboto" w:hAnsi="Roboto" w:eastAsia="Times New Roman"/>
          <w:color w:val="333333"/>
          <w:kern w:val="0"/>
          <w:sz w:val="24"/>
          <w:szCs w:val="24"/>
          <w:lang w:eastAsia="zh-cn"/>
        </w:rPr>
        <w:t>При этом освобождение юридического лица от ответственности возможно только при условии совершения в совокупности всех перечисленных в законе действий, направленных на способствование выявлению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pPr>
        <w:ind w:firstLine="709"/>
        <w:spacing/>
        <w:contextualSpacing/>
        <w:jc w:val="both"/>
        <w:widowControl/>
        <w:rPr>
          <w:rFonts w:ascii="Calibri" w:hAnsi="Calibri" w:eastAsia="Calibri"/>
          <w:b/>
          <w:kern w:val="0"/>
          <w:sz w:val="22"/>
          <w:szCs w:val="22"/>
          <w:lang w:eastAsia="zh-cn"/>
        </w:rPr>
      </w:pPr>
      <w:r>
        <w:rPr>
          <w:rFonts w:ascii="Calibri" w:hAnsi="Calibri" w:eastAsia="Calibri"/>
          <w:b/>
          <w:kern w:val="0"/>
          <w:sz w:val="22"/>
          <w:szCs w:val="22"/>
          <w:lang w:eastAsia="zh-cn"/>
        </w:rPr>
      </w:r>
    </w:p>
    <w:p>
      <w:pPr>
        <w:ind w:firstLine="709"/>
        <w:spacing/>
        <w:contextualSpacing/>
        <w:jc w:val="both"/>
        <w:widowControl/>
        <w:rPr>
          <w:rFonts w:ascii="Calibri" w:hAnsi="Calibri" w:eastAsia="Calibri"/>
          <w:b/>
          <w:kern w:val="0"/>
          <w:sz w:val="22"/>
          <w:szCs w:val="22"/>
          <w:lang w:eastAsia="zh-cn"/>
        </w:rPr>
      </w:pPr>
      <w:r>
        <w:rPr>
          <w:rFonts w:ascii="Calibri" w:hAnsi="Calibri" w:eastAsia="Calibri"/>
          <w:b/>
          <w:kern w:val="0"/>
          <w:sz w:val="22"/>
          <w:szCs w:val="22"/>
          <w:lang w:eastAsia="zh-cn"/>
        </w:rPr>
      </w:r>
    </w:p>
    <w:p>
      <w:pPr>
        <w:ind w:firstLine="709"/>
        <w:spacing/>
        <w:contextualSpacing/>
        <w:jc w:val="both"/>
        <w:widowControl/>
        <w:rPr>
          <w:rFonts w:ascii="Calibri" w:hAnsi="Calibri" w:eastAsia="Calibri"/>
          <w:b/>
          <w:kern w:val="0"/>
          <w:sz w:val="22"/>
          <w:szCs w:val="22"/>
          <w:lang w:eastAsia="zh-cn"/>
        </w:rPr>
      </w:pPr>
      <w:r>
        <w:rPr>
          <w:rFonts w:ascii="Calibri" w:hAnsi="Calibri" w:eastAsia="Calibri"/>
          <w:b/>
          <w:kern w:val="0"/>
          <w:sz w:val="22"/>
          <w:szCs w:val="22"/>
          <w:lang w:eastAsia="zh-cn"/>
        </w:rPr>
      </w:r>
    </w:p>
    <w:p>
      <w:pPr>
        <w:ind w:firstLine="709"/>
        <w:spacing/>
        <w:contextualSpacing/>
        <w:jc w:val="both"/>
        <w:widowControl/>
        <w:rPr>
          <w:rFonts w:ascii="Calibri" w:hAnsi="Calibri" w:eastAsia="Calibri"/>
          <w:b/>
          <w:kern w:val="0"/>
          <w:sz w:val="22"/>
          <w:szCs w:val="22"/>
          <w:lang w:eastAsia="zh-cn"/>
        </w:rPr>
      </w:pPr>
      <w:r>
        <w:rPr>
          <w:rFonts w:ascii="Calibri" w:hAnsi="Calibri" w:eastAsia="Calibri"/>
          <w:b/>
          <w:kern w:val="0"/>
          <w:sz w:val="22"/>
          <w:szCs w:val="22"/>
          <w:lang w:eastAsia="zh-cn"/>
        </w:rPr>
      </w:r>
    </w:p>
    <w:p>
      <w:pPr>
        <w:ind w:firstLine="709"/>
        <w:spacing/>
        <w:contextualSpacing/>
        <w:jc w:val="both"/>
        <w:widowControl/>
        <w:rPr>
          <w:rFonts w:ascii="Calibri" w:hAnsi="Calibri" w:eastAsia="Calibri"/>
          <w:b/>
          <w:kern w:val="0"/>
          <w:sz w:val="22"/>
          <w:szCs w:val="22"/>
          <w:lang w:eastAsia="zh-cn"/>
        </w:rPr>
      </w:pPr>
      <w:r>
        <w:rPr>
          <w:rFonts w:ascii="Calibri" w:hAnsi="Calibri" w:eastAsia="Calibri"/>
          <w:b/>
          <w:kern w:val="0"/>
          <w:sz w:val="22"/>
          <w:szCs w:val="22"/>
          <w:lang w:eastAsia="zh-cn"/>
        </w:rPr>
      </w:r>
    </w:p>
    <w:p>
      <w:pPr>
        <w:ind w:firstLine="709"/>
        <w:contextualSpacing/>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b/>
          <w:bCs/>
          <w:color w:val="333333"/>
          <w:kern w:val="0"/>
          <w:sz w:val="28"/>
          <w:szCs w:val="28"/>
          <w:lang w:eastAsia="zh-cn"/>
        </w:rPr>
      </w:pPr>
      <w:r>
        <w:rPr>
          <w:rFonts w:eastAsia="Times New Roman"/>
          <w:b/>
          <w:bCs/>
          <w:color w:val="333333"/>
          <w:kern w:val="0"/>
          <w:sz w:val="28"/>
          <w:szCs w:val="28"/>
          <w:lang w:eastAsia="zh-cn"/>
        </w:rPr>
      </w:r>
    </w:p>
    <w:sectPr>
      <w:footnotePr>
        <w:pos w:val="pageBottom"/>
        <w:numFmt w:val="decimal"/>
        <w:numStart w:val="1"/>
        <w:numRestart w:val="continuous"/>
      </w:footnotePr>
      <w:endnotePr>
        <w:pos w:val="docEnd"/>
        <w:numFmt w:val="decimal"/>
        <w:numStart w:val="1"/>
        <w:numRestart w:val="continuous"/>
      </w:endnotePr>
      <w:type w:val="continuous"/>
      <w:pgSz w:h="16839" w:w="11907"/>
      <w:pgMar w:left="1134" w:top="1134" w:right="1134" w:bottom="1134" w:header="0" w:footer="0"/>
      <w:paperSrc w:first="0" w:other="0" a="0" b="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ourier New">
    <w:panose1 w:val="02070309020205020404"/>
    <w:charset w:val="cc"/>
    <w:family w:val="modern"/>
    <w:pitch w:val="default"/>
  </w:font>
  <w:font w:name="Roboto">
    <w:panose1 w:val="020B0604020202020204"/>
    <w:charset w:val="00"/>
    <w:family w:val="auto"/>
    <w:pitch w:val="default"/>
  </w:font>
  <w:font w:name="Calibri">
    <w:panose1 w:val="020F0502020204030204"/>
    <w:charset w:val="cc"/>
    <w:family w:val="swiss"/>
    <w:pitch w:val="default"/>
  </w:font>
  <w:font w:name="Symbol">
    <w:panose1 w:val="05050102010706020507"/>
    <w:charset w:val="02"/>
    <w:family w:val="roman"/>
    <w:pitch w:val="default"/>
  </w:font>
  <w:font w:name="Wingdings">
    <w:panose1 w:val="05000000000000000000"/>
    <w:charset w:val="02"/>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1"/>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026"/>
    <o:shapelayout v:ext="edit">
      <o:rules v:ext="edit"/>
    </o:shapelayout>
  </w:shapeDefaults>
  <w:tmPrefOne w:val="16"/>
  <w:tmPrefTwo w:val="1"/>
  <w:tmFmtPref w:val="54540299"/>
  <w:tmCommentsPr>
    <w:tmCommentsPlace w:val="0"/>
    <w:tmCommentsWidth w:val="3119"/>
    <w:tmCommentsColor w:val="-1"/>
  </w:tmCommentsPr>
  <w:tmReviewPr>
    <w:tmReviewEnabled w:val="0"/>
    <w:tmReviewShow w:val="1"/>
    <w:tmReviewPrint w:val="0"/>
    <w:tmRevisionNum w:val="1"/>
    <w:tmReviewMarkIns w:val="4"/>
    <w:tmReviewColorIns w:val="-1"/>
    <w:tmReviewMarkDel w:val="6"/>
    <w:tmReviewColorDel w:val="-1"/>
    <w:tmReviewMarkFmt w:val="1"/>
    <w:tmReviewColorFmt w:val="-1"/>
    <w:tmReviewMarkLn w:val="1"/>
    <w:tmReviewColorLn w:val="0"/>
    <w:tmReviewToolTip w:val="0"/>
  </w:tmReviewPr>
  <w:tmLastPos>
    <w:tmLastPosPage w:val="0"/>
    <w:tmLastPosSelect w:val="1"/>
    <w:tmLastPosFrameIdx w:val="0"/>
    <w:tmLastPosCaret>
      <w:tmLastPosPgfIdx w:val="1"/>
      <w:tmLastPosIdx w:val="0"/>
    </w:tmLastPosCaret>
    <w:tmLastPosAnchor>
      <w:tmLastPosPgfIdx w:val="0"/>
      <w:tmLastPosIdx w:val="0"/>
    </w:tmLastPosAnchor>
    <w:tmLastPosTblRect w:left="0" w:top="0" w:right="0" w:bottom="0"/>
  </w:tmLastPos>
  <w:tmAppRevision w:date="1655359638"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Plain Text"/>
    <w:qFormat/>
    <w:basedOn w:val="para0"/>
    <w:pPr>
      <w:suppressAutoHyphens/>
      <w:hyphenationLines w:val="0"/>
    </w:pPr>
    <w:rPr>
      <w:rFonts w:ascii="Courier New" w:hAnsi="Courier New" w:eastAsia="Courier New" w:cs="Courier New"/>
    </w:rPr>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Plain Text"/>
    <w:qFormat/>
    <w:basedOn w:val="para0"/>
    <w:pPr>
      <w:suppressAutoHyphens/>
      <w:hyphenationLines w:val="0"/>
    </w:pPr>
    <w:rPr>
      <w:rFonts w:ascii="Courier New" w:hAnsi="Courier New" w:eastAsia="Courier New" w:cs="Courier New"/>
    </w:rPr>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2022-06-16T05:58:13Z</dcterms:created>
  <dcterms:modified xsi:type="dcterms:W3CDTF">2022-06-16T06:07:18Z</dcterms:modified>
</cp:coreProperties>
</file>