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  <w:t>Жители Запорожской и Херсонской областей Украины могут получить российское гражданство в упрощенном порядке</w:t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Указом Президента РФ от 25.05.2022 № 304 «О внесении изменений в Указ Президента Российской Федерации от 24.04.2019 № 183 «Об определении в гуманитарных целях категорий лиц, имеющих право обратиться с заявлениями о приеме в гражданство Российской Федерации в упрощенном порядке», гражданам Украины, постоянно проживающим на территории Запорожской или Херсонской областях Украины, в том числе ранее имевшим гражданство Российской Федерации и оформившим выход из него, предоставлено право на получение российского гражданства в упрощенном порядке (без соблюдения требований о 5-летнем сроке проживания в России, наличии законного источника средств к существованию, сдаче теста по русскому языку).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Ранее это право было предоставлено жителям Донецкой Народной Республики и Луганской Народной Республики.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Указ вступил в силу с 25.05.2022.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Подробнее с документом можно ознакомиться на сайте КонсультантПлюс - </w:t>
      </w:r>
      <w:hyperlink r:id="rId7" w:history="1">
        <w:r>
          <w:rPr>
            <w:rFonts w:eastAsia="Times New Roman"/>
            <w:color w:val="4062c4"/>
            <w:kern w:val="0"/>
            <w:sz w:val="28"/>
            <w:szCs w:val="28"/>
            <w:lang w:eastAsia="zh-cn"/>
          </w:rPr>
          <w:t>http://www.consultant.ru</w:t>
        </w:r>
      </w:hyperlink>
      <w:r>
        <w:rPr>
          <w:rFonts w:eastAsia="Times New Roman"/>
          <w:color w:val="333333"/>
          <w:kern w:val="0"/>
          <w:sz w:val="28"/>
          <w:szCs w:val="28"/>
          <w:lang w:eastAsia="zh-cn"/>
        </w:rPr>
        <w:t>, официальном интернет-портале правовой информации - http://www.pravo.gov.ru.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contextualSpacing/>
        <w:widowControl/>
        <w:rPr>
          <w:rFonts w:ascii="Calibri" w:hAnsi="Calibri" w:eastAsia="Calibri"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107"/>
    </w:tmLastPosAnchor>
    <w:tmLastPosTblRect w:left="0" w:top="0" w:right="0" w:bottom="0"/>
  </w:tmLastPos>
  <w:tmAppRevision w:date="1655359159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2022-06-16T05:58:13Z</dcterms:created>
  <dcterms:modified xsi:type="dcterms:W3CDTF">2022-06-16T05:59:19Z</dcterms:modified>
</cp:coreProperties>
</file>