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jc w:val="both"/>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t>Административная ответственность за распространение незаконных призывов и ложной информации</w:t>
      </w:r>
    </w:p>
    <w:p>
      <w:pPr>
        <w:pStyle w:val="para5"/>
        <w:ind w:firstLine="709"/>
        <w:spacing w:before="0" w:after="0" w:beforeAutospacing="0" w:afterAutospacing="0"/>
        <w:jc w:val="both"/>
        <w:rPr>
          <w:color w:val="3a4256"/>
          <w:sz w:val="22"/>
          <w:szCs w:val="22"/>
        </w:rPr>
      </w:pPr>
      <w:r>
        <w:rPr>
          <w:color w:val="3a4256"/>
          <w:sz w:val="22"/>
          <w:szCs w:val="22"/>
        </w:rPr>
        <w:t>Федеральным законом от 04.03.2022 № 31-ФЗ внесены изменения в Кодекс Российской Федерации об административных правонарушениях.</w:t>
      </w:r>
    </w:p>
    <w:p>
      <w:pPr>
        <w:pStyle w:val="para5"/>
        <w:ind w:firstLine="709"/>
        <w:spacing w:before="0" w:after="0" w:beforeAutospacing="0" w:afterAutospacing="0"/>
        <w:jc w:val="both"/>
        <w:rPr>
          <w:color w:val="3a4256"/>
          <w:sz w:val="22"/>
          <w:szCs w:val="22"/>
        </w:rPr>
      </w:pPr>
      <w:r>
        <w:rPr>
          <w:color w:val="3a4256"/>
          <w:sz w:val="22"/>
          <w:szCs w:val="22"/>
        </w:rPr>
        <w:t>Так, кодекс дополнен двумя статьями:</w:t>
      </w:r>
    </w:p>
    <w:p>
      <w:pPr>
        <w:pStyle w:val="para5"/>
        <w:ind w:firstLine="709"/>
        <w:spacing w:before="0" w:after="0" w:beforeAutospacing="0" w:afterAutospacing="0"/>
        <w:jc w:val="both"/>
        <w:rPr>
          <w:color w:val="3a4256"/>
          <w:sz w:val="22"/>
          <w:szCs w:val="22"/>
        </w:rPr>
      </w:pPr>
      <w:r>
        <w:rPr>
          <w:color w:val="3a4256"/>
          <w:sz w:val="22"/>
          <w:szCs w:val="22"/>
        </w:rPr>
        <w:t>статья 20.3.3 «Публичные действия, направленные на дискредитацию использования Вооружённых Сил Российской Федерации в целях защиты интересов Российской Федерации и ее граждан, поддержания международного мира и безопасности». Санкция статьи предусматривает штрафы для граждан от 30 тыс рублей, на должностных лиц от 100 тыс рублей, на юридических лиц от 300 тыс рублей;</w:t>
      </w:r>
    </w:p>
    <w:p>
      <w:pPr>
        <w:pStyle w:val="para5"/>
        <w:ind w:firstLine="709"/>
        <w:spacing w:before="0" w:after="0" w:beforeAutospacing="0" w:afterAutospacing="0"/>
        <w:jc w:val="both"/>
        <w:rPr>
          <w:color w:val="3a4256"/>
          <w:sz w:val="22"/>
          <w:szCs w:val="22"/>
        </w:rPr>
      </w:pPr>
      <w:r>
        <w:rPr>
          <w:color w:val="3a4256"/>
          <w:sz w:val="22"/>
          <w:szCs w:val="22"/>
        </w:rP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 Санкция статьи предусматривает штрафы для граждан от 30 тыс рублей, на должностных лиц от 100 тыс рублей, на юридических лиц от 300 тыс рублей.</w:t>
      </w:r>
    </w:p>
    <w:p>
      <w:pPr>
        <w:pStyle w:val="para5"/>
        <w:ind w:firstLine="709"/>
        <w:spacing w:before="0" w:after="0" w:beforeAutospacing="0" w:afterAutospacing="0"/>
        <w:jc w:val="both"/>
        <w:rPr>
          <w:color w:val="3a4256"/>
          <w:sz w:val="22"/>
          <w:szCs w:val="22"/>
        </w:rPr>
      </w:pPr>
      <w:r>
        <w:rPr>
          <w:color w:val="3a4256"/>
          <w:sz w:val="22"/>
          <w:szCs w:val="22"/>
        </w:rPr>
        <w:t>Составление протоколов об административных правонарушениях, предусмотренных статьей 20.3.3 КоАП РФ, отнесено к компетенции органов полиции, тогда как вынесение постановления о возбуждении дела об административном правонарушении по статье 20.3.4 КоАП РФ является исключительной компетенцией прокурора.</w:t>
      </w:r>
    </w:p>
    <w:p>
      <w:pPr>
        <w:pStyle w:val="para5"/>
        <w:ind w:firstLine="709"/>
        <w:spacing w:before="0" w:after="0" w:beforeAutospacing="0" w:afterAutospacing="0"/>
        <w:jc w:val="both"/>
        <w:rPr>
          <w:color w:val="3a4256"/>
          <w:sz w:val="22"/>
          <w:szCs w:val="22"/>
        </w:rPr>
      </w:pPr>
      <w:r>
        <w:rPr>
          <w:color w:val="3a4256"/>
          <w:sz w:val="22"/>
          <w:szCs w:val="22"/>
        </w:rPr>
        <w:t>Дела об административных правонарушениях, предусмотренных ст. 20.3.3, 20.3.4 КоАП РФ будут рассматриваться судьями районных судов.</w:t>
      </w:r>
    </w:p>
    <w:p>
      <w:pPr>
        <w:pStyle w:val="para5"/>
        <w:ind w:firstLine="709"/>
        <w:spacing w:before="0" w:after="0" w:beforeAutospacing="0" w:afterAutospacing="0"/>
        <w:jc w:val="both"/>
        <w:rPr>
          <w:color w:val="3a4256"/>
          <w:sz w:val="22"/>
          <w:szCs w:val="22"/>
        </w:rPr>
      </w:pPr>
      <w:r>
        <w:rPr>
          <w:color w:val="3a4256"/>
          <w:sz w:val="22"/>
          <w:szCs w:val="22"/>
        </w:rPr>
        <w:t>Закон вступил в силу 04.03.2022.</w:t>
      </w:r>
    </w:p>
    <w:p>
      <w:pPr>
        <w:pStyle w:val="para5"/>
        <w:ind w:firstLine="709"/>
        <w:spacing w:before="0" w:after="0" w:beforeAutospacing="0" w:afterAutospacing="0"/>
        <w:jc w:val="both"/>
        <w:rPr>
          <w:color w:val="3a4256"/>
          <w:sz w:val="22"/>
          <w:szCs w:val="22"/>
        </w:rPr>
      </w:pPr>
      <w:r>
        <w:rPr>
          <w:color w:val="3a4256"/>
          <w:sz w:val="22"/>
          <w:szCs w:val="22"/>
        </w:rPr>
        <w:t>Подробнее с документом можно ознакомиться на сайте КонсультантПлюс – </w:t>
      </w:r>
      <w:hyperlink r:id="rId7" w:history="1">
        <w:r>
          <w:rPr>
            <w:rStyle w:val="char1"/>
            <w:color w:val="b22222"/>
            <w:sz w:val="22"/>
            <w:szCs w:val="22"/>
          </w:rPr>
          <w:t>www.consultant.ru</w:t>
        </w:r>
      </w:hyperlink>
      <w:r>
        <w:rPr>
          <w:color w:val="3a4256"/>
          <w:sz w:val="22"/>
          <w:szCs w:val="22"/>
        </w:rPr>
        <w:t>, официальном интернет-портале правовой информации – </w:t>
      </w:r>
      <w:hyperlink r:id="rId8" w:history="1">
        <w:r>
          <w:rPr>
            <w:rStyle w:val="char1"/>
            <w:color w:val="b22222"/>
            <w:sz w:val="22"/>
            <w:szCs w:val="22"/>
          </w:rPr>
          <w:t>www.pravo.gov.ru</w:t>
        </w:r>
      </w:hyperlink>
      <w:r>
        <w:rPr>
          <w:color w:val="3a4256"/>
          <w:sz w:val="22"/>
          <w:szCs w:val="22"/>
        </w:rPr>
        <w:t>.</w:t>
      </w:r>
      <w:r>
        <w:rPr>
          <w:color w:val="3a4256"/>
          <w:sz w:val="22"/>
          <w:szCs w:val="22"/>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both"/>
        <w:widowControl/>
        <w:rPr>
          <w:rFonts w:eastAsia="Calibri"/>
          <w:b/>
          <w:kern w:val="0"/>
          <w:sz w:val="22"/>
          <w:szCs w:val="22"/>
          <w:lang w:eastAsia="zh-cn"/>
        </w:rPr>
      </w:pPr>
      <w:r>
        <w:rPr>
          <w:rFonts w:eastAsia="Calibri"/>
          <w:b/>
          <w:kern w:val="0"/>
          <w:sz w:val="22"/>
          <w:szCs w:val="22"/>
          <w:lang w:eastAsia="zh-c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7" w:other="7"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1"/>
      <w:tmLastPosIdx w:val="91"/>
    </w:tmLastPosCaret>
    <w:tmLastPosAnchor>
      <w:tmLastPosPgfIdx w:val="1"/>
      <w:tmLastPosIdx w:val="0"/>
    </w:tmLastPosAnchor>
    <w:tmLastPosTblRect w:left="0" w:top="0" w:right="0" w:bottom="0"/>
  </w:tmLastPos>
  <w:tmAppRevision w:date="165468921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www.consultant.ru/" TargetMode="External"/><Relationship Id="rId8"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2022-06-08T11:49:32Z</dcterms:created>
  <dcterms:modified xsi:type="dcterms:W3CDTF">2022-06-08T11:53:37Z</dcterms:modified>
</cp:coreProperties>
</file>